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bCs w:val="1"/>
        </w:rPr>
      </w:pPr>
      <w:r w:rsidDel="00000000" w:rsidR="00000000" w:rsidRPr="00000000">
        <w:rPr>
          <w:b w:val="1"/>
          <w:bCs w:val="1"/>
          <w:rtl w:val="0"/>
        </w:rPr>
        <w:t xml:space="preserve">ПРИОБЩАВАНЕ НА ПРАКТИКА</w:t>
      </w:r>
    </w:p>
    <w:p w:rsidR="00000000" w:rsidDel="00000000" w:rsidP="00000000" w:rsidRDefault="00000000" w:rsidRPr="00000000" w14:paraId="00000002">
      <w:pPr>
        <w:pStyle w:val="Subtitle"/>
        <w:rPr/>
      </w:pPr>
      <w:r w:rsidDel="00000000" w:rsidR="00000000" w:rsidRPr="00000000">
        <w:rPr>
          <w:rtl w:val="0"/>
        </w:rPr>
        <w:t xml:space="preserve">Уроци от проекта ACT-YOU</w:t>
      </w:r>
    </w:p>
    <w:p w:rsidR="00000000" w:rsidDel="00000000" w:rsidP="00000000" w:rsidRDefault="00000000" w:rsidRPr="00000000" w14:paraId="00000003">
      <w:pPr>
        <w:rPr>
          <w:color w:val="404040"/>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14606</wp:posOffset>
            </wp:positionH>
            <wp:positionV relativeFrom="paragraph">
              <wp:posOffset>58421</wp:posOffset>
            </wp:positionV>
            <wp:extent cx="942975" cy="904875"/>
            <wp:effectExtent b="0" l="0" r="0" t="0"/>
            <wp:wrapSquare wrapText="bothSides" distB="114300" distT="114300" distL="114300" distR="114300"/>
            <wp:docPr id="2017896421" name="image8.png"/>
            <a:graphic>
              <a:graphicData uri="http://schemas.openxmlformats.org/drawingml/2006/picture">
                <pic:pic>
                  <pic:nvPicPr>
                    <pic:cNvPr id="0" name="image8.png"/>
                    <pic:cNvPicPr preferRelativeResize="0"/>
                  </pic:nvPicPr>
                  <pic:blipFill>
                    <a:blip r:embed="rId7"/>
                    <a:srcRect b="9196" l="9686" r="7149" t="14084"/>
                    <a:stretch>
                      <a:fillRect/>
                    </a:stretch>
                  </pic:blipFill>
                  <pic:spPr>
                    <a:xfrm>
                      <a:off x="0" y="0"/>
                      <a:ext cx="942975" cy="904875"/>
                    </a:xfrm>
                    <a:prstGeom prst="rect"/>
                    <a:ln/>
                  </pic:spPr>
                </pic:pic>
              </a:graphicData>
            </a:graphic>
          </wp:anchor>
        </w:drawing>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1">
      <w:pPr>
        <w:rPr>
          <w:rFonts w:ascii="Aptos" w:cs="Aptos" w:eastAsia="Aptos" w:hAnsi="Aptos"/>
          <w:sz w:val="24"/>
          <w:szCs w:val="24"/>
        </w:rPr>
      </w:pPr>
      <w:r w:rsidDel="00000000" w:rsidR="00000000" w:rsidRPr="00000000">
        <w:rPr>
          <w:rFonts w:ascii="Aptos" w:cs="Aptos" w:eastAsia="Aptos" w:hAnsi="Aptos"/>
          <w:sz w:val="24"/>
          <w:szCs w:val="24"/>
          <w:rtl w:val="0"/>
        </w:rPr>
        <w:t xml:space="preserve">Тази публикация е разработена в рамките на проект „ACT-YOU: Насърчаване на активното участие в дейности за професионално развитие на младежки работници, младежки лидери, организации и институции, включващи млади хора с по-малко възможности.” (проект No.: KA153-YOU-F252DB5C).</w:t>
      </w:r>
    </w:p>
    <w:p w:rsidR="00000000" w:rsidDel="00000000" w:rsidP="00000000" w:rsidRDefault="00000000" w:rsidRPr="00000000" w14:paraId="00000012">
      <w:pPr>
        <w:rPr>
          <w:rFonts w:ascii="Aptos" w:cs="Aptos" w:eastAsia="Aptos" w:hAnsi="Aptos"/>
          <w:sz w:val="24"/>
          <w:szCs w:val="24"/>
        </w:rPr>
      </w:pPr>
      <w:r w:rsidDel="00000000" w:rsidR="00000000" w:rsidRPr="00000000">
        <w:rPr>
          <w:rFonts w:ascii="Aptos" w:cs="Aptos" w:eastAsia="Aptos" w:hAnsi="Aptos"/>
          <w:sz w:val="24"/>
          <w:szCs w:val="24"/>
          <w:rtl w:val="0"/>
        </w:rPr>
        <w:t xml:space="preserve">В разработването на тази публикация участват</w:t>
      </w:r>
      <w:r w:rsidDel="00000000" w:rsidR="00000000" w:rsidRPr="00000000">
        <w:rPr>
          <w:rFonts w:ascii="Aptos" w:cs="Aptos" w:eastAsia="Aptos" w:hAnsi="Aptos"/>
          <w:sz w:val="24"/>
          <w:szCs w:val="24"/>
          <w:rtl w:val="0"/>
        </w:rPr>
        <w:t xml:space="preserve">: VIEWS International, CuBu Foundation, Association of Students with Disabilities of Slovenia (DŠIS), NGO Sakura, Polish Association of the Blind (PZN), Peace Volunteering Network (PVN), Peace Volunteering Network Norway, Loryhan asbl, Asociația Babilon Travel (ABT).</w:t>
        <w:br w:type="textWrapping"/>
      </w:r>
      <w:r w:rsidDel="00000000" w:rsidR="00000000" w:rsidRPr="00000000">
        <w:drawing>
          <wp:anchor allowOverlap="1" behindDoc="0" distB="0" distT="0" distL="114300" distR="114300" hidden="0" layoutInCell="1" locked="0" relativeHeight="0" simplePos="0">
            <wp:simplePos x="0" y="0"/>
            <wp:positionH relativeFrom="column">
              <wp:posOffset>24131</wp:posOffset>
            </wp:positionH>
            <wp:positionV relativeFrom="paragraph">
              <wp:posOffset>1097915</wp:posOffset>
            </wp:positionV>
            <wp:extent cx="285750" cy="398145"/>
            <wp:effectExtent b="0" l="0" r="0" t="0"/>
            <wp:wrapSquare wrapText="bothSides" distB="0" distT="0" distL="114300" distR="114300"/>
            <wp:docPr id="2017896420"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285750" cy="3981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347979</wp:posOffset>
            </wp:positionH>
            <wp:positionV relativeFrom="paragraph">
              <wp:posOffset>1097915</wp:posOffset>
            </wp:positionV>
            <wp:extent cx="952500" cy="415925"/>
            <wp:effectExtent b="0" l="0" r="0" t="0"/>
            <wp:wrapSquare wrapText="bothSides" distB="0" distT="0" distL="114300" distR="114300"/>
            <wp:docPr id="201789642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52500" cy="4159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1319530</wp:posOffset>
            </wp:positionH>
            <wp:positionV relativeFrom="paragraph">
              <wp:posOffset>1069340</wp:posOffset>
            </wp:positionV>
            <wp:extent cx="457200" cy="448945"/>
            <wp:effectExtent b="0" l="0" r="0" t="0"/>
            <wp:wrapSquare wrapText="bothSides" distB="0" distT="0" distL="114300" distR="114300"/>
            <wp:docPr id="2017896423"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457200" cy="4489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1814195</wp:posOffset>
            </wp:positionH>
            <wp:positionV relativeFrom="paragraph">
              <wp:posOffset>1097915</wp:posOffset>
            </wp:positionV>
            <wp:extent cx="752475" cy="400050"/>
            <wp:effectExtent b="0" l="0" r="0" t="0"/>
            <wp:wrapSquare wrapText="bothSides" distB="0" distT="0" distL="114300" distR="114300"/>
            <wp:docPr id="2017896426"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752475" cy="4000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2633980</wp:posOffset>
            </wp:positionH>
            <wp:positionV relativeFrom="paragraph">
              <wp:posOffset>1057910</wp:posOffset>
            </wp:positionV>
            <wp:extent cx="438150" cy="438150"/>
            <wp:effectExtent b="0" l="0" r="0" t="0"/>
            <wp:wrapSquare wrapText="bothSides" distB="0" distT="0" distL="114300" distR="114300"/>
            <wp:docPr id="2017896422" name="image3.gif"/>
            <a:graphic>
              <a:graphicData uri="http://schemas.openxmlformats.org/drawingml/2006/picture">
                <pic:pic>
                  <pic:nvPicPr>
                    <pic:cNvPr id="0" name="image3.gif"/>
                    <pic:cNvPicPr preferRelativeResize="0"/>
                  </pic:nvPicPr>
                  <pic:blipFill>
                    <a:blip r:embed="rId12"/>
                    <a:srcRect b="0" l="0" r="0" t="0"/>
                    <a:stretch>
                      <a:fillRect/>
                    </a:stretch>
                  </pic:blipFill>
                  <pic:spPr>
                    <a:xfrm>
                      <a:off x="0" y="0"/>
                      <a:ext cx="438150" cy="4381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3072130</wp:posOffset>
            </wp:positionH>
            <wp:positionV relativeFrom="paragraph">
              <wp:posOffset>1003935</wp:posOffset>
            </wp:positionV>
            <wp:extent cx="739140" cy="542925"/>
            <wp:effectExtent b="0" l="0" r="0" t="0"/>
            <wp:wrapSquare wrapText="bothSides" distB="0" distT="0" distL="114300" distR="114300"/>
            <wp:docPr id="2017896429" name="image9.jpg"/>
            <a:graphic>
              <a:graphicData uri="http://schemas.openxmlformats.org/drawingml/2006/picture">
                <pic:pic>
                  <pic:nvPicPr>
                    <pic:cNvPr id="0" name="image9.jpg"/>
                    <pic:cNvPicPr preferRelativeResize="0"/>
                  </pic:nvPicPr>
                  <pic:blipFill>
                    <a:blip r:embed="rId13"/>
                    <a:srcRect b="0" l="0" r="0" t="0"/>
                    <a:stretch>
                      <a:fillRect/>
                    </a:stretch>
                  </pic:blipFill>
                  <pic:spPr>
                    <a:xfrm>
                      <a:off x="0" y="0"/>
                      <a:ext cx="739140" cy="5429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3805554</wp:posOffset>
            </wp:positionH>
            <wp:positionV relativeFrom="paragraph">
              <wp:posOffset>1047750</wp:posOffset>
            </wp:positionV>
            <wp:extent cx="609600" cy="476250"/>
            <wp:effectExtent b="0" l="0" r="0" t="0"/>
            <wp:wrapSquare wrapText="bothSides" distB="0" distT="0" distL="114300" distR="114300"/>
            <wp:docPr id="2017896427"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609600" cy="4762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4443095</wp:posOffset>
            </wp:positionH>
            <wp:positionV relativeFrom="paragraph">
              <wp:posOffset>954405</wp:posOffset>
            </wp:positionV>
            <wp:extent cx="612775" cy="612775"/>
            <wp:effectExtent b="0" l="0" r="0" t="0"/>
            <wp:wrapSquare wrapText="bothSides" distB="0" distT="0" distL="114300" distR="114300"/>
            <wp:docPr id="2017896430"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612775" cy="6127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5091430</wp:posOffset>
            </wp:positionH>
            <wp:positionV relativeFrom="paragraph">
              <wp:posOffset>1049655</wp:posOffset>
            </wp:positionV>
            <wp:extent cx="695960" cy="517525"/>
            <wp:effectExtent b="0" l="0" r="0" t="0"/>
            <wp:wrapSquare wrapText="bothSides" distB="0" distT="0" distL="114300" distR="114300"/>
            <wp:docPr id="2017896424"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695960" cy="517525"/>
                    </a:xfrm>
                    <a:prstGeom prst="rect"/>
                    <a:ln/>
                  </pic:spPr>
                </pic:pic>
              </a:graphicData>
            </a:graphic>
          </wp:anchor>
        </w:drawing>
      </w:r>
    </w:p>
    <w:p w:rsidR="00000000" w:rsidDel="00000000" w:rsidP="00000000" w:rsidRDefault="00000000" w:rsidRPr="00000000" w14:paraId="00000013">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-21589</wp:posOffset>
            </wp:positionH>
            <wp:positionV relativeFrom="paragraph">
              <wp:posOffset>215900</wp:posOffset>
            </wp:positionV>
            <wp:extent cx="2333625" cy="519430"/>
            <wp:effectExtent b="0" l="0" r="0" t="0"/>
            <wp:wrapNone/>
            <wp:docPr id="2017896425"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2333625" cy="519430"/>
                    </a:xfrm>
                    <a:prstGeom prst="rect"/>
                    <a:ln/>
                  </pic:spPr>
                </pic:pic>
              </a:graphicData>
            </a:graphic>
          </wp:anchor>
        </w:drawing>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pStyle w:val="Subtitle"/>
        <w:rPr>
          <w:rFonts w:ascii="Aptos" w:cs="Aptos" w:eastAsia="Aptos" w:hAnsi="Aptos"/>
          <w:b w:val="1"/>
          <w:bCs w:val="1"/>
          <w:sz w:val="28"/>
          <w:szCs w:val="28"/>
        </w:rPr>
      </w:pPr>
      <w:r w:rsidDel="00000000" w:rsidR="00000000" w:rsidRPr="00000000">
        <w:rPr>
          <w:rFonts w:ascii="Aptos" w:cs="Aptos" w:eastAsia="Aptos" w:hAnsi="Aptos"/>
          <w:b w:val="1"/>
          <w:bCs w:val="1"/>
          <w:sz w:val="24"/>
          <w:szCs w:val="24"/>
          <w:rtl w:val="0"/>
        </w:rPr>
        <w:t xml:space="preserve">Funded by the European Union.</w:t>
      </w:r>
      <w:r w:rsidDel="00000000" w:rsidR="00000000" w:rsidRPr="00000000">
        <w:rPr>
          <w:rFonts w:ascii="Aptos" w:cs="Aptos" w:eastAsia="Aptos" w:hAnsi="Aptos"/>
          <w:sz w:val="24"/>
          <w:szCs w:val="24"/>
          <w:rtl w:val="0"/>
        </w:rPr>
        <w:br w:type="textWrapping"/>
        <w:t xml:space="preserve">Views and opinions expressed are however those of the author(s) only and do not necessarily reflect those of the European Union or the National Agency. Neither the European Union nor the granting authority can be held responsible for them.</w:t>
      </w:r>
      <w:r w:rsidDel="00000000" w:rsidR="00000000" w:rsidRPr="00000000">
        <w:br w:type="page"/>
      </w:r>
      <w:r w:rsidDel="00000000" w:rsidR="00000000" w:rsidRPr="00000000">
        <w:rPr>
          <w:rtl w:val="0"/>
        </w:rPr>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left"/>
        <w:rPr>
          <w:rFonts w:ascii="Aptos ExtraBold" w:cs="Aptos ExtraBold" w:eastAsia="Aptos ExtraBold" w:hAnsi="Aptos ExtraBold"/>
          <w:b w:val="1"/>
          <w:bCs w:val="1"/>
          <w:i w:val="0"/>
          <w:iCs w:val="0"/>
          <w:smallCaps w:val="0"/>
          <w:strike w:val="0"/>
          <w:color w:val="2f5496"/>
          <w:sz w:val="48"/>
          <w:szCs w:val="48"/>
          <w:u w:val="single"/>
          <w:shd w:fill="auto" w:val="clear"/>
          <w:vertAlign w:val="baseline"/>
        </w:rPr>
      </w:pPr>
      <w:r w:rsidDel="00000000" w:rsidR="00000000" w:rsidRPr="00000000">
        <w:rPr>
          <w:rFonts w:ascii="Aptos ExtraBold" w:cs="Aptos ExtraBold" w:eastAsia="Aptos ExtraBold" w:hAnsi="Aptos ExtraBold"/>
          <w:b w:val="1"/>
          <w:bCs w:val="1"/>
          <w:i w:val="0"/>
          <w:iCs w:val="0"/>
          <w:smallCaps w:val="0"/>
          <w:strike w:val="0"/>
          <w:color w:val="2f5496"/>
          <w:sz w:val="48"/>
          <w:szCs w:val="48"/>
          <w:u w:val="single"/>
          <w:shd w:fill="auto" w:val="clear"/>
          <w:vertAlign w:val="baseline"/>
          <w:rtl w:val="0"/>
        </w:rPr>
        <w:t xml:space="preserve">СЪДЪРЖАНИЕ</w:t>
      </w:r>
    </w:p>
    <w:sdt>
      <w:sdtPr>
        <w:id w:val="481553755"/>
        <w:docPartObj>
          <w:docPartGallery w:val="Table of Contents"/>
          <w:docPartUnique w:val="1"/>
        </w:docPartObj>
      </w:sdtPr>
      <w:sdtContent>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ib2xrmrni4jn">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ВЪВЕДЕНИЕ</w:t>
              <w:tab/>
              <w:t xml:space="preserve">7</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1w7aiumg4rws">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Нашето партньорство</w:t>
              <w:tab/>
              <w:t xml:space="preserve">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76im2u7tl2ls">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Проектът ACT-YOU</w:t>
              <w:tab/>
              <w:t xml:space="preserve">9</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rg6h66gmxfpg">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Защо тези препоръки</w:t>
              <w:tab/>
              <w:t xml:space="preserve">10</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prdqi77eamtx">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Достъпност на транспорта и пространствата</w:t>
              <w:tab/>
              <w:t xml:space="preserve">11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7gai55gewgtl">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1. Транспорт и мобилност</w:t>
              <w:tab/>
              <w:t xml:space="preserve">11</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j4hf43q3fed2">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2. Достъпност на пространствата, настаняването и ежедневната среда</w:t>
              <w:tab/>
              <w:t xml:space="preserve">12</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v6jw0m9sewte">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3. Участие и комуникация</w:t>
              <w:tab/>
              <w:t xml:space="preserve">14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frfp9lhfbr3w">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Фасилитиране и приобщаване</w:t>
              <w:tab/>
              <w:t xml:space="preserve">16</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xvoplx5fd64l">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1. Различни нива на осъзнатост</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xzgm8sgj5qtm">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2. Езикови бариери</w:t>
              <w:tab/>
              <w:t xml:space="preserve">17</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7xfdrkb0b3ko">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3. Достъпност на дейностите</w:t>
              <w:tab/>
              <w:t xml:space="preserve">17</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pu8iolq6nkw4">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Партньорство и сътрудничество</w:t>
              <w:tab/>
              <w:t xml:space="preserve">20</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c8gh0w8b4yk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1. Ангажираност и надеждност на партньорите</w:t>
              <w:tab/>
              <w:t xml:space="preserve">20</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fl7b8s9le726">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2. Координация и екипна работа</w:t>
              <w:tab/>
              <w:t xml:space="preserve">21</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74tnv6se46wi">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Политически измерения</w:t>
              <w:tab/>
              <w:t xml:space="preserve">23</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7lpbexr5zib7">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Интегриране на приобщаването на системно ниво</w:t>
              <w:tab/>
              <w:t xml:space="preserve">23</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21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5x263js55ggv">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Препоръки за публичните политики</w:t>
              <w:tab/>
              <w:t xml:space="preserve">23</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62"/>
            </w:tabs>
            <w:spacing w:after="100" w:before="0" w:line="264"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hyperlink w:anchor="_heading=h.bf4dg0sm4gk5">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ЗАКЛЮЧЕНИЯ</w:t>
              <w:tab/>
              <w:t xml:space="preserve">24</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0">
      <w:pPr>
        <w:rPr>
          <w:rFonts w:ascii="Aptos ExtraBold" w:cs="Aptos ExtraBold" w:eastAsia="Aptos ExtraBold" w:hAnsi="Aptos ExtraBold"/>
          <w:color w:val="2f5496"/>
          <w:sz w:val="48"/>
          <w:szCs w:val="48"/>
          <w:u w:val="single"/>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rPr/>
      </w:pPr>
      <w:bookmarkStart w:colFirst="0" w:colLast="0" w:name="_heading=h.ib2xrmrni4jn" w:id="0"/>
      <w:bookmarkEnd w:id="0"/>
      <w:r w:rsidDel="00000000" w:rsidR="00000000" w:rsidRPr="00000000">
        <w:rPr>
          <w:rtl w:val="0"/>
        </w:rPr>
        <w:t xml:space="preserve">ВЪВЕДЕНИЕ</w:t>
      </w:r>
    </w:p>
    <w:p w:rsidR="00000000" w:rsidDel="00000000" w:rsidP="00000000" w:rsidRDefault="00000000" w:rsidRPr="00000000" w14:paraId="00000032">
      <w:pPr>
        <w:pStyle w:val="Heading2"/>
        <w:rPr/>
      </w:pPr>
      <w:bookmarkStart w:colFirst="0" w:colLast="0" w:name="_heading=h.1w7aiumg4rws" w:id="1"/>
      <w:bookmarkEnd w:id="1"/>
      <w:r w:rsidDel="00000000" w:rsidR="00000000" w:rsidRPr="00000000">
        <w:rPr>
          <w:rtl w:val="0"/>
        </w:rPr>
        <w:t xml:space="preserve">Нашето партньорство</w:t>
      </w:r>
    </w:p>
    <w:p w:rsidR="00000000" w:rsidDel="00000000" w:rsidP="00000000" w:rsidRDefault="00000000" w:rsidRPr="00000000" w14:paraId="00000033">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VIEWS International (Белгия)</w:t>
      </w:r>
      <w:r w:rsidDel="00000000" w:rsidR="00000000" w:rsidRPr="00000000">
        <w:rPr>
          <w:rFonts w:ascii="Aptos" w:cs="Aptos" w:eastAsia="Aptos" w:hAnsi="Aptos"/>
          <w:sz w:val="28"/>
          <w:szCs w:val="28"/>
          <w:rtl w:val="0"/>
        </w:rPr>
        <w:t xml:space="preserve"> е европейска неправителствена организация, която насърчава независимостта, мобилността и социалното приобщаване на млади хора със зрителни увреждания. Чрез програми като Erasmus+ и Европейския корпус за солидарност организацията подкрепя млади хора със зрителни увреждания в развитието на автономност, самоувереност и професионални умения чрез доброволчество, обучения и стажове. VIEWS International работи също така за подобряване на достъпността и приобщаващия характер на международните програми за мобилност.</w:t>
      </w:r>
    </w:p>
    <w:p w:rsidR="00000000" w:rsidDel="00000000" w:rsidP="00000000" w:rsidRDefault="00000000" w:rsidRPr="00000000" w14:paraId="00000034">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CuBuFo</w:t>
      </w:r>
      <w:r w:rsidDel="00000000" w:rsidR="00000000" w:rsidRPr="00000000">
        <w:rPr>
          <w:rFonts w:ascii="Aptos" w:cs="Aptos" w:eastAsia="Aptos" w:hAnsi="Aptos"/>
          <w:b w:val="1"/>
          <w:bCs w:val="1"/>
          <w:sz w:val="28"/>
          <w:szCs w:val="28"/>
          <w:rtl w:val="0"/>
        </w:rPr>
        <w:t xml:space="preserve"> (България)</w:t>
      </w:r>
      <w:r w:rsidDel="00000000" w:rsidR="00000000" w:rsidRPr="00000000">
        <w:rPr>
          <w:rFonts w:ascii="Aptos" w:cs="Aptos" w:eastAsia="Aptos" w:hAnsi="Aptos"/>
          <w:sz w:val="28"/>
          <w:szCs w:val="28"/>
          <w:rtl w:val="0"/>
        </w:rPr>
        <w:t xml:space="preserve">, създадена през 2006 г., работи в сферите на културата, изкуствата, приобщаващото образование и неформалното учене. Организацията разработва и изпълнява европейски проекти с фокус върху Универсалния дизайн за учене (UDL), достъпността на пространства и съдържание, както и ученето между връстници в младежката работа и образованието за възрастни. CuBu предлага и обучения по теми като многообразие, приобщаване и приобщаващо лидерство и е акредитирана организация по Erasmus+ в сектор „Образование за възрастни“ за периода 2024–2027 г.</w:t>
      </w:r>
    </w:p>
    <w:p w:rsidR="00000000" w:rsidDel="00000000" w:rsidP="00000000" w:rsidRDefault="00000000" w:rsidRPr="00000000" w14:paraId="00000035">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Асоциация на студентите с увреждания в Словения – DŠIS (Словения)</w:t>
      </w:r>
      <w:r w:rsidDel="00000000" w:rsidR="00000000" w:rsidRPr="00000000">
        <w:rPr>
          <w:rFonts w:ascii="Aptos" w:cs="Aptos" w:eastAsia="Aptos" w:hAnsi="Aptos"/>
          <w:sz w:val="28"/>
          <w:szCs w:val="28"/>
          <w:rtl w:val="0"/>
        </w:rPr>
        <w:t xml:space="preserve"> подкрепя студенти с увреждания във висшето и следсредното образование чрез застъпничество и практически услуги. Дейностите ѝ включват достъпен транспорт, лична асистенция, консултиране и подкрепа при образователна и професионална ориентация. DŠIS реализира също неформални образователни дейности, младежки обмени, проекти по Европейския корпус за солидарност и инициативи за повишаване на осведомеността относно приобщаването и достъпността.</w:t>
      </w:r>
    </w:p>
    <w:p w:rsidR="00000000" w:rsidDel="00000000" w:rsidP="00000000" w:rsidRDefault="00000000" w:rsidRPr="00000000" w14:paraId="00000036">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НПО Sakura (Румъния)</w:t>
      </w:r>
      <w:r w:rsidDel="00000000" w:rsidR="00000000" w:rsidRPr="00000000">
        <w:rPr>
          <w:rFonts w:ascii="Aptos" w:cs="Aptos" w:eastAsia="Aptos" w:hAnsi="Aptos"/>
          <w:sz w:val="28"/>
          <w:szCs w:val="28"/>
          <w:rtl w:val="0"/>
        </w:rPr>
        <w:t xml:space="preserve"> е младежка организация, основана през 1990 г. в Букурещ, която насърчава демократичните ценности, свободата на изразяване и активното участие на младите хора. Организацията работи в областите на образованието, социалното приобщаване, дигиталното учене, екологията, спорта и международното сътрудничество. През последните години Sakura засили фокуса си върху приобщаващата младежка работа и проекти, насочени към достъпността, чрез неформално образование и международна мобилност.</w:t>
      </w:r>
    </w:p>
    <w:p w:rsidR="00000000" w:rsidDel="00000000" w:rsidP="00000000" w:rsidRDefault="00000000" w:rsidRPr="00000000" w14:paraId="00000037">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Полски съюз на слепите – PZN (Полша)</w:t>
      </w:r>
      <w:r w:rsidDel="00000000" w:rsidR="00000000" w:rsidRPr="00000000">
        <w:rPr>
          <w:rFonts w:ascii="Aptos" w:cs="Aptos" w:eastAsia="Aptos" w:hAnsi="Aptos"/>
          <w:sz w:val="28"/>
          <w:szCs w:val="28"/>
          <w:rtl w:val="0"/>
        </w:rPr>
        <w:t xml:space="preserve"> е национална организация, основана през 1951 г., която представлява около 30 000 слепи и слабовиждащи членове. Мисията ѝ е да подпомага независимостта, социалното участие и професионалната реализация чрез рехабилитация, образование, достъпност и култура без бариери. PZN е член на Световния съюз на слепите и Европейския съюз на слепите.</w:t>
      </w:r>
    </w:p>
    <w:p w:rsidR="00000000" w:rsidDel="00000000" w:rsidP="00000000" w:rsidRDefault="00000000" w:rsidRPr="00000000" w14:paraId="00000038">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Peace Volunteering Network – PVN (Албания)</w:t>
      </w:r>
      <w:r w:rsidDel="00000000" w:rsidR="00000000" w:rsidRPr="00000000">
        <w:rPr>
          <w:rFonts w:ascii="Aptos" w:cs="Aptos" w:eastAsia="Aptos" w:hAnsi="Aptos"/>
          <w:sz w:val="28"/>
          <w:szCs w:val="28"/>
          <w:rtl w:val="0"/>
        </w:rPr>
        <w:t xml:space="preserve"> насърчава мира, демокрацията, приобщаването и правата на човека чрез мобилност, междукултурно учене и развитие на общностите. Организацията реализира обучения, изследвания и дейности за повишаване на осведомеността на политическо, институционално и местно ниво, като си сътрудничи с организации на гражданското общество, образователни институции, общини и младежки центрове чрез силна международна мрежа.</w:t>
      </w:r>
    </w:p>
    <w:p w:rsidR="00000000" w:rsidDel="00000000" w:rsidP="00000000" w:rsidRDefault="00000000" w:rsidRPr="00000000" w14:paraId="00000039">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Peace Volunteering Network Norway</w:t>
      </w:r>
      <w:r w:rsidDel="00000000" w:rsidR="00000000" w:rsidRPr="00000000">
        <w:rPr>
          <w:rFonts w:ascii="Aptos" w:cs="Aptos" w:eastAsia="Aptos" w:hAnsi="Aptos"/>
          <w:sz w:val="28"/>
          <w:szCs w:val="28"/>
          <w:rtl w:val="0"/>
        </w:rPr>
        <w:t xml:space="preserve">, създадена през 2023 г. в Кристиансанд, подкрепя изграждането на мирни, демократични и социално справедливи общества чрез междукултурно и междусекторно сътрудничество. Организацията работи с НПО, общини, медии и местни общности в областта на изграждането на капацитет, научните изследвания и обмена на знания в Европа, като действа в рамките на утвърдени международни мрежи, които свързват местното и глобалното ниво.</w:t>
      </w:r>
    </w:p>
    <w:p w:rsidR="00000000" w:rsidDel="00000000" w:rsidP="00000000" w:rsidRDefault="00000000" w:rsidRPr="00000000" w14:paraId="0000003A">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Loryhan asbl (Белгия)</w:t>
      </w:r>
      <w:r w:rsidDel="00000000" w:rsidR="00000000" w:rsidRPr="00000000">
        <w:rPr>
          <w:rFonts w:ascii="Aptos" w:cs="Aptos" w:eastAsia="Aptos" w:hAnsi="Aptos"/>
          <w:sz w:val="28"/>
          <w:szCs w:val="28"/>
          <w:rtl w:val="0"/>
        </w:rPr>
        <w:t xml:space="preserve"> е младежка организация със седалище в Botassart-sur-Semois, официално призната през 2025 г. от Федерация Валония–Брюксел като Център за срещи и прием. В продължение на повече от 20 години организацията е домакин на международни младежки обмени и неформални образователни дейности с фокус върху природата, гражданството, устойчивото развитие и социалното приобщаване. Центърът приема около 1 000 млади хора годишно и разполага с капацитет за настаняване на до 52 участници едновременно.</w:t>
      </w:r>
    </w:p>
    <w:p w:rsidR="00000000" w:rsidDel="00000000" w:rsidP="00000000" w:rsidRDefault="00000000" w:rsidRPr="00000000" w14:paraId="0000003B">
      <w:pPr>
        <w:spacing w:after="160" w:line="276" w:lineRule="auto"/>
        <w:rPr>
          <w:rFonts w:ascii="Aptos" w:cs="Aptos" w:eastAsia="Aptos" w:hAnsi="Aptos"/>
          <w:sz w:val="28"/>
          <w:szCs w:val="28"/>
        </w:rPr>
      </w:pPr>
      <w:r w:rsidDel="00000000" w:rsidR="00000000" w:rsidRPr="00000000">
        <w:rPr>
          <w:rFonts w:ascii="Aptos" w:cs="Aptos" w:eastAsia="Aptos" w:hAnsi="Aptos"/>
          <w:b w:val="1"/>
          <w:bCs w:val="1"/>
          <w:sz w:val="28"/>
          <w:szCs w:val="28"/>
          <w:rtl w:val="0"/>
        </w:rPr>
        <w:t xml:space="preserve">Asociația Babilon Travel – ABT (Румъния)</w:t>
      </w:r>
      <w:r w:rsidDel="00000000" w:rsidR="00000000" w:rsidRPr="00000000">
        <w:rPr>
          <w:rFonts w:ascii="Aptos" w:cs="Aptos" w:eastAsia="Aptos" w:hAnsi="Aptos"/>
          <w:sz w:val="28"/>
          <w:szCs w:val="28"/>
          <w:rtl w:val="0"/>
        </w:rPr>
        <w:t xml:space="preserve"> е създадена през 2013 г. с цел насърчаване на социалното приобщаване на млади хора с увреждания. Дейностите ѝ са насочени към европейските ценности, активното гражданство, доброволчеството, мултикултурализма, пригодността за заетост, устойчивостта, дигиталните умения и използването на спорта като инструмент за приобщаване и благополучие. ABT изследва и прилагането на изкуствен интелект за подобряване на достъпността, приобщаването и иновациите в младежките и образователните проекти.</w:t>
      </w:r>
    </w:p>
    <w:p w:rsidR="00000000" w:rsidDel="00000000" w:rsidP="00000000" w:rsidRDefault="00000000" w:rsidRPr="00000000" w14:paraId="0000003C">
      <w:pPr>
        <w:pStyle w:val="Heading2"/>
        <w:rPr/>
      </w:pPr>
      <w:bookmarkStart w:colFirst="0" w:colLast="0" w:name="_heading=h.76im2u7tl2ls" w:id="2"/>
      <w:bookmarkEnd w:id="2"/>
      <w:r w:rsidDel="00000000" w:rsidR="00000000" w:rsidRPr="00000000">
        <w:rPr>
          <w:rtl w:val="0"/>
        </w:rPr>
        <w:t xml:space="preserve">Проектът ACT-YOU</w:t>
      </w:r>
    </w:p>
    <w:p w:rsidR="00000000" w:rsidDel="00000000" w:rsidP="00000000" w:rsidRDefault="00000000" w:rsidRPr="00000000" w14:paraId="0000003D">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ACT-YOU е проект по програма Erasmus+, който има за цел да засили приобщаващата, достъпна и смислена младежка работа за млади хора с по-малко възможности. Въпреки че младежката работа е широко призната като ключово пространство за участие, учене и овластяване, много младежки работници продължават да се сблъскват с конкретни предизвикателства при работата с млади хора с увреждания, новопристигнали младежи или такива, изправени пред социални, икономически или културни бариери. Тези предизвикателства често произтичат от липсата на практически насоки, споделени инструменти и възможности за прилагане на приобщаващи практики в реална среда.</w:t>
      </w:r>
    </w:p>
    <w:p w:rsidR="00000000" w:rsidDel="00000000" w:rsidP="00000000" w:rsidRDefault="00000000" w:rsidRPr="00000000" w14:paraId="0000003E">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Координиран от VIEWS International и реализиран в партньорство с организации от седем европейски държави, проектът ACT-YOU създаде структурирани пространства за учене, обмен и професионално развитие. Чрез учебно посещение и международен обучителен курс младежки работници и организации се събраха, за да споделят опит, да изследват приобщаващи подходи и да разсъждават върху начините, по които младежката работа може по-добре да отговаря на разнообразните нужди и контексти. Проектът подкрепи участниците в развитието на умения за комуникация, фасилитиране, достъпност и сътрудничество, като същевременно допринесе за укрепване на европейските мрежи в сферата на младежката работа.</w:t>
      </w:r>
    </w:p>
    <w:p w:rsidR="00000000" w:rsidDel="00000000" w:rsidP="00000000" w:rsidRDefault="00000000" w:rsidRPr="00000000" w14:paraId="0000003F">
      <w:pPr>
        <w:pStyle w:val="Heading2"/>
        <w:rPr/>
      </w:pPr>
      <w:bookmarkStart w:colFirst="0" w:colLast="0" w:name="_heading=h.rg6h66gmxfpg" w:id="3"/>
      <w:bookmarkEnd w:id="3"/>
      <w:r w:rsidDel="00000000" w:rsidR="00000000" w:rsidRPr="00000000">
        <w:rPr>
          <w:rtl w:val="0"/>
        </w:rPr>
        <w:t xml:space="preserve">Защо тези препоръки</w:t>
      </w:r>
    </w:p>
    <w:p w:rsidR="00000000" w:rsidDel="00000000" w:rsidP="00000000" w:rsidRDefault="00000000" w:rsidRPr="00000000" w14:paraId="00000040">
      <w:pPr>
        <w:rPr>
          <w:rFonts w:ascii="Aptos" w:cs="Aptos" w:eastAsia="Aptos" w:hAnsi="Aptos"/>
          <w:sz w:val="28"/>
          <w:szCs w:val="28"/>
        </w:rPr>
      </w:pPr>
      <w:r w:rsidDel="00000000" w:rsidR="00000000" w:rsidRPr="00000000">
        <w:rPr>
          <w:rFonts w:ascii="Aptos" w:cs="Aptos" w:eastAsia="Aptos" w:hAnsi="Aptos"/>
          <w:sz w:val="28"/>
          <w:szCs w:val="28"/>
          <w:rtl w:val="0"/>
        </w:rPr>
        <w:t xml:space="preserve">По време на изпълнението на проекта ACT-YOU бяха идентифицирани повтарящи се бариери и потребности в различни държави, организации и видове дейности. Участниците откроиха общи предизвикателства, свързани с:</w:t>
      </w:r>
    </w:p>
    <w:p w:rsidR="00000000" w:rsidDel="00000000" w:rsidP="00000000" w:rsidRDefault="00000000" w:rsidRPr="00000000" w14:paraId="00000041">
      <w:pPr>
        <w:numPr>
          <w:ilvl w:val="0"/>
          <w:numId w:val="2"/>
        </w:numPr>
        <w:ind w:left="720" w:hanging="360"/>
        <w:rPr>
          <w:rFonts w:ascii="Aptos" w:cs="Aptos" w:eastAsia="Aptos" w:hAnsi="Aptos"/>
          <w:sz w:val="28"/>
          <w:szCs w:val="28"/>
        </w:rPr>
      </w:pPr>
      <w:r w:rsidDel="00000000" w:rsidR="00000000" w:rsidRPr="00000000">
        <w:rPr>
          <w:rFonts w:ascii="Aptos" w:cs="Aptos" w:eastAsia="Aptos" w:hAnsi="Aptos"/>
          <w:sz w:val="28"/>
          <w:szCs w:val="28"/>
          <w:rtl w:val="0"/>
        </w:rPr>
        <w:t xml:space="preserve">достъпността на транспорта и пространствата;</w:t>
      </w:r>
    </w:p>
    <w:p w:rsidR="00000000" w:rsidDel="00000000" w:rsidP="00000000" w:rsidRDefault="00000000" w:rsidRPr="00000000" w14:paraId="00000042">
      <w:pPr>
        <w:numPr>
          <w:ilvl w:val="0"/>
          <w:numId w:val="2"/>
        </w:numPr>
        <w:ind w:left="720" w:hanging="360"/>
        <w:rPr>
          <w:rFonts w:ascii="Aptos" w:cs="Aptos" w:eastAsia="Aptos" w:hAnsi="Aptos"/>
          <w:sz w:val="28"/>
          <w:szCs w:val="28"/>
        </w:rPr>
      </w:pPr>
      <w:r w:rsidDel="00000000" w:rsidR="00000000" w:rsidRPr="00000000">
        <w:rPr>
          <w:rFonts w:ascii="Aptos" w:cs="Aptos" w:eastAsia="Aptos" w:hAnsi="Aptos"/>
          <w:sz w:val="28"/>
          <w:szCs w:val="28"/>
          <w:rtl w:val="0"/>
        </w:rPr>
        <w:t xml:space="preserve">комуникацията и участието;</w:t>
      </w:r>
    </w:p>
    <w:p w:rsidR="00000000" w:rsidDel="00000000" w:rsidP="00000000" w:rsidRDefault="00000000" w:rsidRPr="00000000" w14:paraId="00000043">
      <w:pPr>
        <w:numPr>
          <w:ilvl w:val="0"/>
          <w:numId w:val="2"/>
        </w:numPr>
        <w:ind w:left="720" w:hanging="360"/>
        <w:rPr>
          <w:rFonts w:ascii="Aptos" w:cs="Aptos" w:eastAsia="Aptos" w:hAnsi="Aptos"/>
          <w:sz w:val="28"/>
          <w:szCs w:val="28"/>
        </w:rPr>
      </w:pPr>
      <w:r w:rsidDel="00000000" w:rsidR="00000000" w:rsidRPr="00000000">
        <w:rPr>
          <w:rFonts w:ascii="Aptos" w:cs="Aptos" w:eastAsia="Aptos" w:hAnsi="Aptos"/>
          <w:sz w:val="28"/>
          <w:szCs w:val="28"/>
          <w:rtl w:val="0"/>
        </w:rPr>
        <w:t xml:space="preserve">методите на фасилитиране, езиковите бариери и координацията между партньорите.</w:t>
      </w:r>
    </w:p>
    <w:p w:rsidR="00000000" w:rsidDel="00000000" w:rsidP="00000000" w:rsidRDefault="00000000" w:rsidRPr="00000000" w14:paraId="00000044">
      <w:pPr>
        <w:rPr>
          <w:rFonts w:ascii="Aptos" w:cs="Aptos" w:eastAsia="Aptos" w:hAnsi="Aptos"/>
          <w:sz w:val="28"/>
          <w:szCs w:val="28"/>
        </w:rPr>
      </w:pPr>
      <w:r w:rsidDel="00000000" w:rsidR="00000000" w:rsidRPr="00000000">
        <w:rPr>
          <w:rFonts w:ascii="Aptos" w:cs="Aptos" w:eastAsia="Aptos" w:hAnsi="Aptos"/>
          <w:sz w:val="28"/>
          <w:szCs w:val="28"/>
          <w:rtl w:val="0"/>
        </w:rPr>
        <w:t xml:space="preserve">В същото време те споделиха конкретни решения, адаптации и практики, които са се доказали като ефективни в работата им с млади хора с по-малко възможности.</w:t>
      </w:r>
    </w:p>
    <w:p w:rsidR="00000000" w:rsidDel="00000000" w:rsidP="00000000" w:rsidRDefault="00000000" w:rsidRPr="00000000" w14:paraId="00000045">
      <w:pPr>
        <w:rPr>
          <w:rFonts w:ascii="Aptos" w:cs="Aptos" w:eastAsia="Aptos" w:hAnsi="Aptos"/>
          <w:sz w:val="28"/>
          <w:szCs w:val="28"/>
        </w:rPr>
      </w:pPr>
      <w:r w:rsidDel="00000000" w:rsidR="00000000" w:rsidRPr="00000000">
        <w:rPr>
          <w:rFonts w:ascii="Aptos" w:cs="Aptos" w:eastAsia="Aptos" w:hAnsi="Aptos"/>
          <w:sz w:val="28"/>
          <w:szCs w:val="28"/>
          <w:rtl w:val="0"/>
        </w:rPr>
        <w:t xml:space="preserve">Тези препоръки се основават на този колективен опит. Те имат за цел да обобщят практическите знания, развити в рамките на дейностите по проекта, и да ги превърнат в ясни и приложими насоки за младежки работници, организации и координатори на проекти. Вместо фиксирани правила, препоръките предлагат отправни точки и примери, които могат да бъдат адаптирани към различни местни реалности. Тяхната цел е да подкрепят по-информирано планиране, да подобрят ежедневната практика и да допринесат за това младежките дейности да бъдат проектирани и реализирани по начини, които намаляват бариерите и позволяват пълноценно участие.</w:t>
      </w:r>
    </w:p>
    <w:p w:rsidR="00000000" w:rsidDel="00000000" w:rsidP="00000000" w:rsidRDefault="00000000" w:rsidRPr="00000000" w14:paraId="00000046">
      <w:pPr>
        <w:rPr>
          <w:rFonts w:ascii="Aptos" w:cs="Aptos" w:eastAsia="Aptos" w:hAnsi="Aptos"/>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rPr/>
      </w:pPr>
      <w:bookmarkStart w:colFirst="0" w:colLast="0" w:name="_heading=h.prdqi77eamtx" w:id="4"/>
      <w:bookmarkEnd w:id="4"/>
      <w:r w:rsidDel="00000000" w:rsidR="00000000" w:rsidRPr="00000000">
        <w:rPr>
          <w:rtl w:val="0"/>
        </w:rPr>
        <w:t xml:space="preserve">Достъпност на транспорта и пространствата</w:t>
      </w:r>
    </w:p>
    <w:p w:rsidR="00000000" w:rsidDel="00000000" w:rsidP="00000000" w:rsidRDefault="00000000" w:rsidRPr="00000000" w14:paraId="00000048">
      <w:pPr>
        <w:pStyle w:val="Heading2"/>
        <w:rPr/>
      </w:pPr>
      <w:bookmarkStart w:colFirst="0" w:colLast="0" w:name="_heading=h.7gai55gewgtl" w:id="5"/>
      <w:bookmarkEnd w:id="5"/>
      <w:r w:rsidDel="00000000" w:rsidR="00000000" w:rsidRPr="00000000">
        <w:rPr>
          <w:rtl w:val="0"/>
        </w:rPr>
        <w:t xml:space="preserve">1. Транспорт и мобилност</w:t>
      </w:r>
    </w:p>
    <w:p w:rsidR="00000000" w:rsidDel="00000000" w:rsidP="00000000" w:rsidRDefault="00000000" w:rsidRPr="00000000" w14:paraId="00000049">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Бариери</w:t>
      </w:r>
    </w:p>
    <w:p w:rsidR="00000000" w:rsidDel="00000000" w:rsidP="00000000" w:rsidRDefault="00000000" w:rsidRPr="00000000" w14:paraId="0000004A">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Големите разстояния до обществения транспорт или до местата за провеждане на дейности могат значително да затруднят придвижването, особено за групи от 20 и повече участници. За хората, използващи инвалидни колички, общественият транспорт често е недостатъчно достъпен поради ограничения брой адаптирани места, недостъпни спирки или превозни средства, както и междуградски автобуси, които в много случаи изобщо не са пригодени. Участниците със зрителни увреждания могат да срещнат трудности с ориентацията, използването на разписания или самостоятелното пътуване без подкрепа. Хората със слухови увреждания или използващите жестов език могат да се сблъскат с комуникационни бариери в шумна или многоезична среда. Помощните средства, използвани от слепи и слабовиждащи участници, трябва да се транспортират с повишено внимание и да бъдат адекватно застраховани, за да се избегнат повреди, което изисква допълнително планиране.</w:t>
      </w:r>
    </w:p>
    <w:p w:rsidR="00000000" w:rsidDel="00000000" w:rsidP="00000000" w:rsidRDefault="00000000" w:rsidRPr="00000000" w14:paraId="0000004B">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Приобщаващи мерки</w:t>
      </w:r>
    </w:p>
    <w:p w:rsidR="00000000" w:rsidDel="00000000" w:rsidP="00000000" w:rsidRDefault="00000000" w:rsidRPr="00000000" w14:paraId="0000004C">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Осигурете достатъчен брой лични асистенти, придружители за участници със зрителни увреждания и преводачи на жестов език, които да подкрепят участниците по време на цялото пътуване.</w:t>
      </w:r>
    </w:p>
    <w:p w:rsidR="00000000" w:rsidDel="00000000" w:rsidP="00000000" w:rsidRDefault="00000000" w:rsidRPr="00000000" w14:paraId="0000004D">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Организирайте специализиран или адаптиран транспорт за хора, използващи инвалидни колички, за участници с ограничена мобилност и за хора със зрителни или слухови увреждания, когато общественият транспорт е недостъпен, твърде бавен или небезопасен.</w:t>
      </w:r>
    </w:p>
    <w:p w:rsidR="00000000" w:rsidDel="00000000" w:rsidP="00000000" w:rsidRDefault="00000000" w:rsidRPr="00000000" w14:paraId="0000004E">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Проверете предварително политиките на авиокомпаниите и транспортните оператори относно помощните средства и осигурете подходяща застраховка за защита на ключовото оборудване.</w:t>
      </w:r>
    </w:p>
    <w:p w:rsidR="00000000" w:rsidDel="00000000" w:rsidP="00000000" w:rsidRDefault="00000000" w:rsidRPr="00000000" w14:paraId="0000004F">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Добра практика: достъпен транспорт в Словения</w:t>
      </w:r>
    </w:p>
    <w:p w:rsidR="00000000" w:rsidDel="00000000" w:rsidP="00000000" w:rsidRDefault="00000000" w:rsidRPr="00000000" w14:paraId="00000050">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Асоциацията на студентите с увреждания в Словения предоставя адаптиран транспорт за студенти, които не могат да използват обществения транспорт. Макар услугата да е насочена основно към академични нужди, тя може да се използва и за участие в обучения, събития, медицински посещения и подобни дейности, при условие че не пречат на учебните задължения. Тъй като междуградските автобуси в Словения не са достъпни за хора с двигателни увреждания, асоциацията организира достъпен транспорт за международни младежки дейности, включително трансфери от летища, жп или автогари до местата за провеждане на проектите, както и локален транспорт по време на дейностите. В градска среда общественият транспорт обикновено позволява превоз само на един човек в инвалидна количка наведнъж, което затруднява пътуването в група; адаптираните микробуси на асоциацията позволяват безопасен и практичен транспорт на няколко участници едновременно.</w:t>
      </w:r>
    </w:p>
    <w:p w:rsidR="00000000" w:rsidDel="00000000" w:rsidP="00000000" w:rsidRDefault="00000000" w:rsidRPr="00000000" w14:paraId="00000051">
      <w:pPr>
        <w:pStyle w:val="Heading2"/>
        <w:rPr/>
      </w:pPr>
      <w:bookmarkStart w:colFirst="0" w:colLast="0" w:name="_heading=h.j4hf43q3fed2" w:id="6"/>
      <w:bookmarkEnd w:id="6"/>
      <w:r w:rsidDel="00000000" w:rsidR="00000000" w:rsidRPr="00000000">
        <w:rPr>
          <w:rtl w:val="0"/>
        </w:rPr>
        <w:t xml:space="preserve">2. Достъпност на пространствата, настаняването и ежедневната среда</w:t>
      </w:r>
    </w:p>
    <w:p w:rsidR="00000000" w:rsidDel="00000000" w:rsidP="00000000" w:rsidRDefault="00000000" w:rsidRPr="00000000" w14:paraId="00000052">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Бариери</w:t>
      </w:r>
    </w:p>
    <w:p w:rsidR="00000000" w:rsidDel="00000000" w:rsidP="00000000" w:rsidRDefault="00000000" w:rsidRPr="00000000" w14:paraId="00000053">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Напълно достъпните пространства за групи с различни потребности са рядкост. Достъпните стаи често са ограничени като брой, по-скъпи или неподходящи за настаняване на няколко души, използващи инвалидни колички. В много сгради липсват основни елементи на физическа достъпност, като широки врати, рампи, асансьори или адаптирани санитарни помещения, а елементите на визуална достъпност — тактилни ивици, контрастна сигнализация, надписи на брайл или с едър шрифт, както и гласови съобщения в асансьорите — са рядко срещани. Слепите и слабовиждащите участници могат да изпитват затруднения при безопасното придвижване в претъпкани пространства или в среди с често променяща се подредба, докато участниците със слухови увреждания често нямат достъп до индукционни системи или преводачи.</w:t>
      </w:r>
    </w:p>
    <w:p w:rsidR="00000000" w:rsidDel="00000000" w:rsidP="00000000" w:rsidRDefault="00000000" w:rsidRPr="00000000" w14:paraId="00000054">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По време на хранене бюфетните маси могат да бъдат твърде високи, пространството за придвижване — ограничено, а слепите или слабовиждащите участници могат да срещнат трудности при самообслужване, достъп до менюта или ориентиране </w:t>
      </w:r>
      <w:r w:rsidDel="00000000" w:rsidR="00000000" w:rsidRPr="00000000">
        <w:rPr>
          <w:rFonts w:ascii="Aptos" w:cs="Aptos" w:eastAsia="Aptos" w:hAnsi="Aptos"/>
          <w:sz w:val="28"/>
          <w:szCs w:val="28"/>
          <w:rtl w:val="0"/>
        </w:rPr>
        <w:t xml:space="preserve">за</w:t>
      </w:r>
      <w:r w:rsidDel="00000000" w:rsidR="00000000" w:rsidRPr="00000000">
        <w:rPr>
          <w:rFonts w:ascii="Aptos" w:cs="Aptos" w:eastAsia="Aptos" w:hAnsi="Aptos"/>
          <w:sz w:val="28"/>
          <w:szCs w:val="28"/>
          <w:rtl w:val="0"/>
        </w:rPr>
        <w:t xml:space="preserve"> храната в чинията. Присъствието на кучета водачи изисква допълнително планиране, свързано с документация, ваксинации, храна и възможни алергии на други участници.</w:t>
      </w:r>
    </w:p>
    <w:p w:rsidR="00000000" w:rsidDel="00000000" w:rsidP="00000000" w:rsidRDefault="00000000" w:rsidRPr="00000000" w14:paraId="00000055">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Приобщаващи мерки</w:t>
      </w:r>
    </w:p>
    <w:p w:rsidR="00000000" w:rsidDel="00000000" w:rsidP="00000000" w:rsidRDefault="00000000" w:rsidRPr="00000000" w14:paraId="00000056">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Проведете Предварително планиращо посещение (Advance Planning Visit – APV), за да проверите достъпността на пространствата, разположението на помещенията, маршрутите за придвижване, осветлението, процедурите за безопасност и необходимите адаптации.</w:t>
      </w:r>
    </w:p>
    <w:p w:rsidR="00000000" w:rsidDel="00000000" w:rsidP="00000000" w:rsidRDefault="00000000" w:rsidRPr="00000000" w14:paraId="00000057">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Осигурете въвеждащи сесии по ориентация и мобилност за участници със зрителни увреждания, поддържайте постоянна подредба на помещенията и обзавеждането и при необходимост добавете временна сигнализация с едър шрифт или брайл.</w:t>
      </w:r>
    </w:p>
    <w:p w:rsidR="00000000" w:rsidDel="00000000" w:rsidP="00000000" w:rsidRDefault="00000000" w:rsidRPr="00000000" w14:paraId="00000058">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Гарантирайте слухова подкрепа чрез стационарни или преносими индукционни системи и квалифицирани преводачи, осигурете достатъчен брой придружители за слепи участници и планирайте предварително нуждите, свързани с кучетата водачи.</w:t>
      </w:r>
    </w:p>
    <w:p w:rsidR="00000000" w:rsidDel="00000000" w:rsidP="00000000" w:rsidRDefault="00000000" w:rsidRPr="00000000" w14:paraId="00000059">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Осигурете достъпни хранения — с по-ниски маси, достатъчно пространство и, когато е възможно, обслужване на маса; описвайте възможностите в менюто и разположението на храната в чинията за слепи и слабовиждащи участници и предлагайте помощ при нужда.</w:t>
      </w:r>
    </w:p>
    <w:p w:rsidR="00000000" w:rsidDel="00000000" w:rsidP="00000000" w:rsidRDefault="00000000" w:rsidRPr="00000000" w14:paraId="0000005A">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Добра практика: APV посещения и обучение на придружители във VIEWS International</w:t>
      </w:r>
    </w:p>
    <w:p w:rsidR="00000000" w:rsidDel="00000000" w:rsidP="00000000" w:rsidRDefault="00000000" w:rsidRPr="00000000" w14:paraId="0000005B">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За да гарантира безопасно и безпрепятствено участие, VIEWS International провежда Предварителни планиращи посещения (APV) на всички места за дейности, за да провери дали пространствата са напълно достъпни за хора с увреждания. Тези посещения позволяват оценка на маршрутите за придвижване, разположението на помещенията, осветлението, сигнализацията, зоните за хранене и всички необходими адаптации много преди началото на дейностите. Преди краткосрочни мобилности придружителите участват в практически сесии заедно с местни доброволци — слепи или слабовиждащи хора. По време на тези сесии придружителите усвояват основни техники за водене, разпознаване на рискове в различни среди и начини за описване на храненията и предоставяне на подкрепа по безопасен, уважителен и ефективен начин.</w:t>
      </w:r>
    </w:p>
    <w:p w:rsidR="00000000" w:rsidDel="00000000" w:rsidP="00000000" w:rsidRDefault="00000000" w:rsidRPr="00000000" w14:paraId="0000005C">
      <w:pPr>
        <w:pStyle w:val="Heading2"/>
        <w:rPr/>
      </w:pPr>
      <w:bookmarkStart w:colFirst="0" w:colLast="0" w:name="_heading=h.v6jw0m9sewte" w:id="7"/>
      <w:bookmarkEnd w:id="7"/>
      <w:r w:rsidDel="00000000" w:rsidR="00000000" w:rsidRPr="00000000">
        <w:rPr>
          <w:rtl w:val="0"/>
        </w:rPr>
        <w:t xml:space="preserve">3. Участие и комуникация</w:t>
      </w:r>
    </w:p>
    <w:p w:rsidR="00000000" w:rsidDel="00000000" w:rsidP="00000000" w:rsidRDefault="00000000" w:rsidRPr="00000000" w14:paraId="0000005D">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Бариери</w:t>
      </w:r>
    </w:p>
    <w:p w:rsidR="00000000" w:rsidDel="00000000" w:rsidP="00000000" w:rsidRDefault="00000000" w:rsidRPr="00000000" w14:paraId="0000005E">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Достигането до млади хора с по-малко възможности често е предизвикателство. Много от тях се колебаят да се включат в дейности поради липса на самоувереност, предишни по-малко положителни образователни преживявания или желание да останат в зоната си на комфорт. Младите хора, живеещи в селски или отдалечени райони, често имат ограничен достъп до информация и разполагат с малко местни структури, които могат да ги подкрепят в откриването на наличните възможности.</w:t>
      </w:r>
    </w:p>
    <w:p w:rsidR="00000000" w:rsidDel="00000000" w:rsidP="00000000" w:rsidRDefault="00000000" w:rsidRPr="00000000" w14:paraId="0000005F">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Комуникационните бариери — като ниско ниво на дигитални умения, ограничен достъп до интернет или липса на познания за международни програми — допълнително </w:t>
      </w:r>
      <w:r w:rsidDel="00000000" w:rsidR="00000000" w:rsidRPr="00000000">
        <w:rPr>
          <w:rFonts w:ascii="Aptos" w:cs="Aptos" w:eastAsia="Aptos" w:hAnsi="Aptos"/>
          <w:sz w:val="28"/>
          <w:szCs w:val="28"/>
          <w:rtl w:val="0"/>
        </w:rPr>
        <w:t xml:space="preserve">ограничават </w:t>
      </w:r>
      <w:r w:rsidDel="00000000" w:rsidR="00000000" w:rsidRPr="00000000">
        <w:rPr>
          <w:rFonts w:ascii="Aptos" w:cs="Aptos" w:eastAsia="Aptos" w:hAnsi="Aptos"/>
          <w:sz w:val="28"/>
          <w:szCs w:val="28"/>
          <w:rtl w:val="0"/>
        </w:rPr>
        <w:t xml:space="preserve">участието. В резултат на това тези млади хора могат да възприемат дейностите като „неподходящи за тях“ и да се нуждаят от повече насърчаване, уверение и директен контакт, за да се почувстват сигурни и мотивирани да участват.</w:t>
      </w:r>
    </w:p>
    <w:p w:rsidR="00000000" w:rsidDel="00000000" w:rsidP="00000000" w:rsidRDefault="00000000" w:rsidRPr="00000000" w14:paraId="00000060">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Приобщаващи мерки</w:t>
      </w:r>
    </w:p>
    <w:p w:rsidR="00000000" w:rsidDel="00000000" w:rsidP="00000000" w:rsidRDefault="00000000" w:rsidRPr="00000000" w14:paraId="00000061">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Използвайте персонализирани подходи за достигане до млади хора, като телефонни разговори, съобщения в WhatsApp или посещения в местни младежки </w:t>
      </w:r>
      <w:r w:rsidDel="00000000" w:rsidR="00000000" w:rsidRPr="00000000">
        <w:rPr>
          <w:rFonts w:ascii="Aptos" w:cs="Aptos" w:eastAsia="Aptos" w:hAnsi="Aptos"/>
          <w:sz w:val="28"/>
          <w:szCs w:val="28"/>
          <w:rtl w:val="0"/>
        </w:rPr>
        <w:t xml:space="preserve">клубове</w:t>
      </w:r>
      <w:r w:rsidDel="00000000" w:rsidR="00000000" w:rsidRPr="00000000">
        <w:rPr>
          <w:rFonts w:ascii="Aptos" w:cs="Aptos" w:eastAsia="Aptos" w:hAnsi="Aptos"/>
          <w:sz w:val="28"/>
          <w:szCs w:val="28"/>
          <w:rtl w:val="0"/>
        </w:rPr>
        <w:t xml:space="preserve">, за да обясните ясно, че участието е безплатно, подкрепено и съобразено с индивидуалните нужди. Предоставяйте ясна и приятелска информация за това какво включва дейността и какъв тип подкрепа е налична.</w:t>
      </w:r>
    </w:p>
    <w:p w:rsidR="00000000" w:rsidDel="00000000" w:rsidP="00000000" w:rsidRDefault="00000000" w:rsidRPr="00000000" w14:paraId="00000062">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Работете в партньорство с младежки домове, читалища, училища, социални услуги и малки местни организации, за да достигнете до млади хора от отдалечени или недостатъчно обслужвани райони и да изградите доверие чрез познати и надеждни посредници.</w:t>
      </w:r>
    </w:p>
    <w:p w:rsidR="00000000" w:rsidDel="00000000" w:rsidP="00000000" w:rsidRDefault="00000000" w:rsidRPr="00000000" w14:paraId="00000063">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Планирайте и осигурете ресурси за допълнителни мерки за подкрепа, като асистенти, помощ при пътуване, преводачи или подготвителни срещи, така че младежите с по-малко възможности да могат да участват уверено и без финансови или логистични бариери.</w:t>
      </w:r>
    </w:p>
    <w:p w:rsidR="00000000" w:rsidDel="00000000" w:rsidP="00000000" w:rsidRDefault="00000000" w:rsidRPr="00000000" w14:paraId="00000064">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Добра практика: сътрудничество с местните власти и младежките центрове – Loryhan</w:t>
      </w:r>
    </w:p>
    <w:p w:rsidR="00000000" w:rsidDel="00000000" w:rsidP="00000000" w:rsidRDefault="00000000" w:rsidRPr="00000000" w14:paraId="00000065">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Моделът на Loryhan засилва младежкото участие чрез изграждане на структурирани партньорства между местните власти и младежките центрове, основани на формални споразумения, съвместно планиране и дейности, водени от млади хора. Инициативата създава приобщаваща среда, в която младите хора активно допринасят за развитието на общността, благодарение на ясно разпределени роли между заинтересованите страни, редовни координационни срещи, съвместно създадени календари на дейностите, споделено използване на местни ресурси и отворени пространства за диалог с вземащите решения.</w:t>
      </w:r>
    </w:p>
    <w:p w:rsidR="00000000" w:rsidDel="00000000" w:rsidP="00000000" w:rsidRDefault="00000000" w:rsidRPr="00000000" w14:paraId="00000066">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Подкрепен от постоянни механизми за учене и мониторинг, този модел укрепва доверието между младите хора и местните институции, увеличава младежкото участие в обществения живот и насърчава по-добре координирани и по-устойчиви младежки услуги. Loryhan си сътрудничи и с младежки центрове и организации в региона и извън него, като асоциацията COALA, която организира младежки обмени в центъра от 2009 г., и активно участва в европейски младежки мрежи по програмата Erasmus+.</w:t>
      </w:r>
    </w:p>
    <w:p w:rsidR="00000000" w:rsidDel="00000000" w:rsidP="00000000" w:rsidRDefault="00000000" w:rsidRPr="00000000" w14:paraId="00000067">
      <w:pPr>
        <w:rPr>
          <w:rFonts w:ascii="Aptos" w:cs="Aptos" w:eastAsia="Aptos" w:hAnsi="Aptos"/>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rPr/>
      </w:pPr>
      <w:bookmarkStart w:colFirst="0" w:colLast="0" w:name="_heading=h.frfp9lhfbr3w" w:id="8"/>
      <w:bookmarkEnd w:id="8"/>
      <w:r w:rsidDel="00000000" w:rsidR="00000000" w:rsidRPr="00000000">
        <w:rPr>
          <w:rtl w:val="0"/>
        </w:rPr>
        <w:t xml:space="preserve">Фасилитиране и приобщаване</w:t>
      </w:r>
    </w:p>
    <w:p w:rsidR="00000000" w:rsidDel="00000000" w:rsidP="00000000" w:rsidRDefault="00000000" w:rsidRPr="00000000" w14:paraId="00000069">
      <w:pPr>
        <w:pStyle w:val="Heading2"/>
        <w:rPr/>
      </w:pPr>
      <w:bookmarkStart w:colFirst="0" w:colLast="0" w:name="_heading=h.xvoplx5fd64l" w:id="9"/>
      <w:bookmarkEnd w:id="9"/>
      <w:r w:rsidDel="00000000" w:rsidR="00000000" w:rsidRPr="00000000">
        <w:rPr>
          <w:rtl w:val="0"/>
        </w:rPr>
        <w:t xml:space="preserve">1. Различни нива на осъзнатост</w:t>
      </w:r>
    </w:p>
    <w:p w:rsidR="00000000" w:rsidDel="00000000" w:rsidP="00000000" w:rsidRDefault="00000000" w:rsidRPr="00000000" w14:paraId="0000006A">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Бариери</w:t>
      </w:r>
    </w:p>
    <w:p w:rsidR="00000000" w:rsidDel="00000000" w:rsidP="00000000" w:rsidRDefault="00000000" w:rsidRPr="00000000" w14:paraId="0000006B">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Участниците и членовете на екипите могат да имат много различни нива на осъзнатост по отношение на приобщаването и достъпността. Това може да доведе до неравностойно участие или до неволно изключване, ако методите на фасилитиране не са адаптирани към различните възможности. Слепите и слабовиждащите участници се нуждаят от тактилни, слухови и описателни адаптации, докато хората с двигателни увреждания имат нужда от физически достъпна среда. Някои дейности могат да изискват повече време за определени участници, а спортните или развлекателните активности често се нуждаят от адаптиране, за да се гарантира равнопоставено участие.</w:t>
      </w:r>
    </w:p>
    <w:p w:rsidR="00000000" w:rsidDel="00000000" w:rsidP="00000000" w:rsidRDefault="00000000" w:rsidRPr="00000000" w14:paraId="0000006C">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Приобщаващи мерки</w:t>
      </w:r>
    </w:p>
    <w:p w:rsidR="00000000" w:rsidDel="00000000" w:rsidP="00000000" w:rsidRDefault="00000000" w:rsidRPr="00000000" w14:paraId="0000006D">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Опознайте участниците и техните нужди чрез предварителна оценка и ги включвайте активно в планирането и изпълнението на дейностите.</w:t>
      </w:r>
    </w:p>
    <w:p w:rsidR="00000000" w:rsidDel="00000000" w:rsidP="00000000" w:rsidRDefault="00000000" w:rsidRPr="00000000" w14:paraId="0000006E">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Осигурявайте тактилни, слухови или други адаптирани материали за слепи и слабовиждащи участници и адаптирайте дейностите за хора с двигателни увреждания, включително чрез предоставяне на повече време или алтернативи в седнало положение.</w:t>
      </w:r>
    </w:p>
    <w:p w:rsidR="00000000" w:rsidDel="00000000" w:rsidP="00000000" w:rsidRDefault="00000000" w:rsidRPr="00000000" w14:paraId="0000006F">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Включвайте адаптирани развлекателни и спортни дейности, като голбал, дартс със звук или колоездене с тандем, като гарантирате, че участниците с различни възможности могат да се включат по смислен и възможно най-самостоятелен начин.</w:t>
      </w:r>
    </w:p>
    <w:p w:rsidR="00000000" w:rsidDel="00000000" w:rsidP="00000000" w:rsidRDefault="00000000" w:rsidRPr="00000000" w14:paraId="00000070">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Добра практика: сесия за достъпност, водена от участници – ACT-YOU</w:t>
      </w:r>
    </w:p>
    <w:p w:rsidR="00000000" w:rsidDel="00000000" w:rsidP="00000000" w:rsidRDefault="00000000" w:rsidRPr="00000000" w14:paraId="00000071">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В началото на обучението ACT-YOU в Албания участниците взеха участие в допълнителна сесия, фасилитирана от двама слепи участници. Сесията беше фокусирана върху практически начини за приобщаващо взаимодействие с хора със зрителни увреждания и се основаваше пряко на личния им опит. Чрез конкретни демонстрации фасилитаторите показаха как правилно да се оказва съдействие на сляп човек, как да се предлага помощ по уважителен начин, както и кои са най-честите грешки и добри практики в ежедневните взаимодействия.</w:t>
      </w:r>
    </w:p>
    <w:p w:rsidR="00000000" w:rsidDel="00000000" w:rsidP="00000000" w:rsidRDefault="00000000" w:rsidRPr="00000000" w14:paraId="00000072">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Сесията създаде и пространство за открит и уважителен диалог, като насърчи участниците да задават въпроси и да развият по-добро разбиране за различните начини на ориентация, придвижване и участие в ежедневието. Този подход, основан на ученето между връстници, допринесе за повишаване на осъзнатостта, намаляване на несигурността и насърчаване на по-уверени, уважителни и приобщаващи нагласи сред участниците.</w:t>
      </w:r>
    </w:p>
    <w:p w:rsidR="00000000" w:rsidDel="00000000" w:rsidP="00000000" w:rsidRDefault="00000000" w:rsidRPr="00000000" w14:paraId="00000073">
      <w:pPr>
        <w:pStyle w:val="Heading2"/>
        <w:rPr/>
      </w:pPr>
      <w:bookmarkStart w:colFirst="0" w:colLast="0" w:name="_heading=h.xzgm8sgj5qtm" w:id="10"/>
      <w:bookmarkEnd w:id="10"/>
      <w:r w:rsidDel="00000000" w:rsidR="00000000" w:rsidRPr="00000000">
        <w:rPr>
          <w:rtl w:val="0"/>
        </w:rPr>
        <w:t xml:space="preserve">2. Езикови бариери</w:t>
      </w:r>
    </w:p>
    <w:p w:rsidR="00000000" w:rsidDel="00000000" w:rsidP="00000000" w:rsidRDefault="00000000" w:rsidRPr="00000000" w14:paraId="00000074">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Бариери</w:t>
      </w:r>
    </w:p>
    <w:p w:rsidR="00000000" w:rsidDel="00000000" w:rsidP="00000000" w:rsidRDefault="00000000" w:rsidRPr="00000000" w14:paraId="00000075">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Езиковите различия или различните начини на комуникация могат да възпрепятстват участието и взаимното разбиране. В някои случаи е необходимо използването на невербални, артистични или сетивни дейности, за да се осигури разбиране отвъд говоримия език.</w:t>
      </w:r>
    </w:p>
    <w:p w:rsidR="00000000" w:rsidDel="00000000" w:rsidP="00000000" w:rsidRDefault="00000000" w:rsidRPr="00000000" w14:paraId="00000076">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Приобщаващи мерки</w:t>
      </w:r>
    </w:p>
    <w:p w:rsidR="00000000" w:rsidDel="00000000" w:rsidP="00000000" w:rsidRDefault="00000000" w:rsidRPr="00000000" w14:paraId="00000077">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Осигурявайте преводачи и </w:t>
      </w:r>
      <w:r w:rsidDel="00000000" w:rsidR="00000000" w:rsidRPr="00000000">
        <w:rPr>
          <w:rFonts w:ascii="Aptos" w:cs="Aptos" w:eastAsia="Aptos" w:hAnsi="Aptos"/>
          <w:sz w:val="28"/>
          <w:szCs w:val="28"/>
          <w:rtl w:val="0"/>
        </w:rPr>
        <w:t xml:space="preserve">интерпретатори</w:t>
      </w:r>
      <w:r w:rsidDel="00000000" w:rsidR="00000000" w:rsidRPr="00000000">
        <w:rPr>
          <w:rFonts w:ascii="Aptos" w:cs="Aptos" w:eastAsia="Aptos" w:hAnsi="Aptos"/>
          <w:sz w:val="28"/>
          <w:szCs w:val="28"/>
          <w:rtl w:val="0"/>
        </w:rPr>
        <w:t xml:space="preserve"> при необходимост, включително преводачи на жестов език за глухи участници.</w:t>
      </w:r>
    </w:p>
    <w:p w:rsidR="00000000" w:rsidDel="00000000" w:rsidP="00000000" w:rsidRDefault="00000000" w:rsidRPr="00000000" w14:paraId="00000078">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Включвайте невербални, артистични или сетивни дейности, които улесняват разбирането независимо от езиковите умения.</w:t>
      </w:r>
    </w:p>
    <w:p w:rsidR="00000000" w:rsidDel="00000000" w:rsidP="00000000" w:rsidRDefault="00000000" w:rsidRPr="00000000" w14:paraId="00000079">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Гарантирайте, че всички материали за слепи и слабовиждащи участници са налични в достъпни електронни формати и че визуалните елементи са адекватно описани.</w:t>
      </w:r>
    </w:p>
    <w:p w:rsidR="00000000" w:rsidDel="00000000" w:rsidP="00000000" w:rsidRDefault="00000000" w:rsidRPr="00000000" w14:paraId="0000007A">
      <w:pPr>
        <w:pStyle w:val="Heading2"/>
        <w:rPr/>
      </w:pPr>
      <w:bookmarkStart w:colFirst="0" w:colLast="0" w:name="_heading=h.7xfdrkb0b3ko" w:id="11"/>
      <w:bookmarkEnd w:id="11"/>
      <w:r w:rsidDel="00000000" w:rsidR="00000000" w:rsidRPr="00000000">
        <w:rPr>
          <w:rtl w:val="0"/>
        </w:rPr>
        <w:t xml:space="preserve">3. Достъпност на дейностите</w:t>
      </w:r>
    </w:p>
    <w:p w:rsidR="00000000" w:rsidDel="00000000" w:rsidP="00000000" w:rsidRDefault="00000000" w:rsidRPr="00000000" w14:paraId="0000007B">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Бариери</w:t>
      </w:r>
    </w:p>
    <w:p w:rsidR="00000000" w:rsidDel="00000000" w:rsidP="00000000" w:rsidRDefault="00000000" w:rsidRPr="00000000" w14:paraId="0000007C">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Дори когато пространството е достъпно, самите дейности често не са. Много обучения и работилници разчитат основно на визуално съдържание, бързи инструкции или задачи, изискващи движение, което може да изключи участници с различни възможности. Достъпни формати — като тактилни графики, аудиоописания, материали с едър шрифт или ясни надписи — често липсват или не се планират предварително.</w:t>
      </w:r>
    </w:p>
    <w:p w:rsidR="00000000" w:rsidDel="00000000" w:rsidP="00000000" w:rsidRDefault="00000000" w:rsidRPr="00000000" w14:paraId="0000007D">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Дейностите могат да станат недостъпни и когато методите на фасилитиране не са адаптирани. Слепите участници може да се нуждаят от повече време за изследване на тактилни материали; хората, използващи инвалидни колички, могат да срещнат затруднения в дейности, изискващи придвижване или достигане на определена височина; глухите участници може да не могат да следят дискусиите без преводачи или в пространства с високо ниво на шум и ехтене.</w:t>
      </w:r>
    </w:p>
    <w:p w:rsidR="00000000" w:rsidDel="00000000" w:rsidP="00000000" w:rsidRDefault="00000000" w:rsidRPr="00000000" w14:paraId="0000007E">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Когато изискванията за достъпност не са съгласувани предварително — например нуждата от допълнителни инвалидни колички, преводачи или адаптирано спортно оборудване — участниците могат да бъдат неволно изключени от дейностите.</w:t>
      </w:r>
    </w:p>
    <w:p w:rsidR="00000000" w:rsidDel="00000000" w:rsidP="00000000" w:rsidRDefault="00000000" w:rsidRPr="00000000" w14:paraId="0000007F">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Приобщаващи мерки</w:t>
      </w:r>
    </w:p>
    <w:p w:rsidR="00000000" w:rsidDel="00000000" w:rsidP="00000000" w:rsidRDefault="00000000" w:rsidRPr="00000000" w14:paraId="00000080">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Адаптирайте дейностите чрез осигуряване на достъпни материали (тактилни графики, материали с едър шрифт, аудиоописания), използване на невербални или невизуални методи и избор на приобщаващи игри и активности, като голбал, дартс със звук или дейности в седнало положение, подходящи за хора с двигателни увреждания.</w:t>
      </w:r>
    </w:p>
    <w:p w:rsidR="00000000" w:rsidDel="00000000" w:rsidP="00000000" w:rsidRDefault="00000000" w:rsidRPr="00000000" w14:paraId="00000081">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Планирайте достъпността на дейностите от ранен етап: ясно определете кой осигурява помощните средства, подгответе преносими рампи или допълнителни инвалидни колички при необходимост и структурирайте дейностите така, че да се предвиди повече време за тактилно изследване или превод.</w:t>
      </w:r>
    </w:p>
    <w:p w:rsidR="00000000" w:rsidDel="00000000" w:rsidP="00000000" w:rsidRDefault="00000000" w:rsidRPr="00000000" w14:paraId="00000082">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Реализирайте дейностите с гъвкаво фасилитиране: използвайте ясни инструкции, интегрирайте алтернативни формати, осигурявайте присъствието на преводачи на жестов език, когато е необходимо, и </w:t>
      </w:r>
      <w:r w:rsidDel="00000000" w:rsidR="00000000" w:rsidRPr="00000000">
        <w:rPr>
          <w:rFonts w:ascii="Aptos" w:cs="Aptos" w:eastAsia="Aptos" w:hAnsi="Aptos"/>
          <w:sz w:val="28"/>
          <w:szCs w:val="28"/>
          <w:rtl w:val="0"/>
        </w:rPr>
        <w:t xml:space="preserve">разработвайте</w:t>
      </w:r>
      <w:r w:rsidDel="00000000" w:rsidR="00000000" w:rsidRPr="00000000">
        <w:rPr>
          <w:rFonts w:ascii="Aptos" w:cs="Aptos" w:eastAsia="Aptos" w:hAnsi="Aptos"/>
          <w:sz w:val="28"/>
          <w:szCs w:val="28"/>
          <w:rtl w:val="0"/>
        </w:rPr>
        <w:t xml:space="preserve"> задачи, които подкрепят самостоятелността на участниците, като предлагате помощ само когато е нужна.</w:t>
      </w:r>
    </w:p>
    <w:p w:rsidR="00000000" w:rsidDel="00000000" w:rsidP="00000000" w:rsidRDefault="00000000" w:rsidRPr="00000000" w14:paraId="00000083">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Добра практика: подходът KYP – „Опознай участника“</w:t>
      </w:r>
    </w:p>
    <w:p w:rsidR="00000000" w:rsidDel="00000000" w:rsidP="00000000" w:rsidRDefault="00000000" w:rsidRPr="00000000" w14:paraId="00000084">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Подходът KYP (Know Your Participant – „Опознай участника“) гарантира, че достъпността се осигурява там, където е най-важна — по време на самата дейност. Дори в достъпна среда участниците могат да бъдат неволно изключени поради начина, по който дейностите са </w:t>
      </w:r>
      <w:r w:rsidDel="00000000" w:rsidR="00000000" w:rsidRPr="00000000">
        <w:rPr>
          <w:rFonts w:ascii="Aptos" w:cs="Aptos" w:eastAsia="Aptos" w:hAnsi="Aptos"/>
          <w:sz w:val="28"/>
          <w:szCs w:val="28"/>
          <w:rtl w:val="0"/>
        </w:rPr>
        <w:t xml:space="preserve">разработени</w:t>
      </w:r>
      <w:r w:rsidDel="00000000" w:rsidR="00000000" w:rsidRPr="00000000">
        <w:rPr>
          <w:rFonts w:ascii="Aptos" w:cs="Aptos" w:eastAsia="Aptos" w:hAnsi="Aptos"/>
          <w:sz w:val="28"/>
          <w:szCs w:val="28"/>
          <w:rtl w:val="0"/>
        </w:rPr>
        <w:t xml:space="preserve">, обяснени или темпоритмично организирани. KYP насърчава организаторите да се запознаят предварително с индивидуалните нужди на участниците, вместо да разчитат на предположения или стандартни решения.</w:t>
      </w:r>
    </w:p>
    <w:p w:rsidR="00000000" w:rsidDel="00000000" w:rsidP="00000000" w:rsidRDefault="00000000" w:rsidRPr="00000000" w14:paraId="00000085">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Чрез кратки формуляри за участие, предварителни разговори и уважително управление на личните данни фасилитаторите могат да подготвят подходящата подкрепа — като достъпни материали, конфигурации на дейностите, отчитащи физическите, сетивните и емоционалните нужди, гъвкаво фасилитиране с ясни инструкции и подкрепа, предоставяна при необходимост, без да се </w:t>
      </w:r>
      <w:r w:rsidDel="00000000" w:rsidR="00000000" w:rsidRPr="00000000">
        <w:rPr>
          <w:rFonts w:ascii="Aptos" w:cs="Aptos" w:eastAsia="Aptos" w:hAnsi="Aptos"/>
          <w:sz w:val="28"/>
          <w:szCs w:val="28"/>
          <w:rtl w:val="0"/>
        </w:rPr>
        <w:t xml:space="preserve">ограничава </w:t>
      </w:r>
      <w:r w:rsidDel="00000000" w:rsidR="00000000" w:rsidRPr="00000000">
        <w:rPr>
          <w:rFonts w:ascii="Aptos" w:cs="Aptos" w:eastAsia="Aptos" w:hAnsi="Aptos"/>
          <w:sz w:val="28"/>
          <w:szCs w:val="28"/>
          <w:rtl w:val="0"/>
        </w:rPr>
        <w:t xml:space="preserve">самостоятелността. Като третират участниците като експерти на собствения им опит, подходът KYP допринася за създаването на дейности, в които всеки може да участва пълноценно и комфортно.</w:t>
      </w:r>
    </w:p>
    <w:p w:rsidR="00000000" w:rsidDel="00000000" w:rsidP="00000000" w:rsidRDefault="00000000" w:rsidRPr="00000000" w14:paraId="00000086">
      <w:pPr>
        <w:rPr>
          <w:rFonts w:ascii="Aptos" w:cs="Aptos" w:eastAsia="Aptos" w:hAnsi="Aptos"/>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1"/>
        <w:rPr/>
      </w:pPr>
      <w:bookmarkStart w:colFirst="0" w:colLast="0" w:name="_heading=h.pu8iolq6nkw4" w:id="12"/>
      <w:bookmarkEnd w:id="12"/>
      <w:r w:rsidDel="00000000" w:rsidR="00000000" w:rsidRPr="00000000">
        <w:rPr>
          <w:rtl w:val="0"/>
        </w:rPr>
        <w:t xml:space="preserve">Партньорство и сътрудничество</w:t>
      </w:r>
    </w:p>
    <w:p w:rsidR="00000000" w:rsidDel="00000000" w:rsidP="00000000" w:rsidRDefault="00000000" w:rsidRPr="00000000" w14:paraId="00000088">
      <w:pPr>
        <w:pStyle w:val="Heading2"/>
        <w:rPr/>
      </w:pPr>
      <w:bookmarkStart w:colFirst="0" w:colLast="0" w:name="_heading=h.c8gh0w8b4ykr" w:id="13"/>
      <w:bookmarkEnd w:id="13"/>
      <w:r w:rsidDel="00000000" w:rsidR="00000000" w:rsidRPr="00000000">
        <w:rPr>
          <w:rtl w:val="0"/>
        </w:rPr>
        <w:t xml:space="preserve">1. Ангажираност и надеждност на партньорите</w:t>
      </w:r>
    </w:p>
    <w:p w:rsidR="00000000" w:rsidDel="00000000" w:rsidP="00000000" w:rsidRDefault="00000000" w:rsidRPr="00000000" w14:paraId="00000089">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Бариери</w:t>
      </w:r>
    </w:p>
    <w:p w:rsidR="00000000" w:rsidDel="00000000" w:rsidP="00000000" w:rsidRDefault="00000000" w:rsidRPr="00000000" w14:paraId="0000008A">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Изграждането и поддържането на силни и приобщаващи партньорства може да бъде предизвикателство. Някои организации проявяват висока ангажираност в началните етапи, но с времето участието им може да намалее. Различията в разбирането за достъпност и приобщаване могат да доведат до непоследователни подходи, а текучеството на персонала или организационните промени могат да нарушат сътрудничеството. Без целенасочено планиране процесите на съвместно създаване и смисленото включване на хора с увреждания могат да бъдат пренебрегнати, което отслабва както степента на приобщаване, така и качеството на партньорството.</w:t>
      </w:r>
    </w:p>
    <w:p w:rsidR="00000000" w:rsidDel="00000000" w:rsidP="00000000" w:rsidRDefault="00000000" w:rsidRPr="00000000" w14:paraId="0000008B">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Приобщаващи мерки</w:t>
      </w:r>
    </w:p>
    <w:p w:rsidR="00000000" w:rsidDel="00000000" w:rsidP="00000000" w:rsidRDefault="00000000" w:rsidRPr="00000000" w14:paraId="0000008C">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Включвайте партньорите и хората с увреждания директно в разработването, планирането и изпълнението на дейностите, като интегрирате принципите на приобщаването на всеки етап от проекта. Организирайте дейности за изграждане на партньорства, като работилници, съвместни обучения, тиймбилдинг, сесии за съвместно създаване и брейнсторминг, за да изградите доверие, общо разбиране и споделена отговорност.</w:t>
      </w:r>
    </w:p>
    <w:p w:rsidR="00000000" w:rsidDel="00000000" w:rsidP="00000000" w:rsidRDefault="00000000" w:rsidRPr="00000000" w14:paraId="0000008D">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Засилвайте ангажираността и съвместната отговорност чрез ясно определяне на приноса на всеки партньор към приобщаването и съвместното проектиране, чрез ясно дефиниране на роли и очаквания и чрез насърчаване на съвместното вземане на решения и колективната отговорност за резултатите от проекта.</w:t>
      </w:r>
    </w:p>
    <w:p w:rsidR="00000000" w:rsidDel="00000000" w:rsidP="00000000" w:rsidRDefault="00000000" w:rsidRPr="00000000" w14:paraId="0000008E">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Осигурявайте насоки, достъпни материали и необходимата подкрепа — като преводачи, асистенти или адаптирани ресурси — за да могат всички партньори да участват пълноценно в процесите на съвместно създаване и партньорските дейности.</w:t>
      </w:r>
    </w:p>
    <w:p w:rsidR="00000000" w:rsidDel="00000000" w:rsidP="00000000" w:rsidRDefault="00000000" w:rsidRPr="00000000" w14:paraId="0000008F">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Добра практика: дейности за изграждане на партньорства в ABT</w:t>
      </w:r>
    </w:p>
    <w:p w:rsidR="00000000" w:rsidDel="00000000" w:rsidP="00000000" w:rsidRDefault="00000000" w:rsidRPr="00000000" w14:paraId="00000090">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Нарастващият брой активни организации създава множество възможности за международно сътрудничество, но опитът показва, че ефективните и надеждни партньорства изискват време и целенасочени инвестиции. В отговор на това Asociația Babilon Travel (ABT) разви устойчива практика за ангажиране на партньорите чрез ежегодно организиране на Дейности за изграждане на партньорства (Partnership Building Activities – PBA).</w:t>
      </w:r>
    </w:p>
    <w:p w:rsidR="00000000" w:rsidDel="00000000" w:rsidP="00000000" w:rsidRDefault="00000000" w:rsidRPr="00000000" w14:paraId="00000091">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През последните три години тези дейности се фокусираха върху присъствени срещи между партньорските организации, създавайки пространство за обмен на работни методи, анализ на добри практики и идентифициране на общи ценности и цели. PBA дадоха възможност на партньорите да разберат по-добре капацитета, комуникационните стилове и дългосрочните визии на останалите участници, като положиха стабилна основа за бъдещо сътрудничество. В резултат качеството и надеждността на партньорствата се подобриха значително, което доведе до по-прозрачна комуникация, по-смислено сътрудничество и по-силни и устойчиви съвместни резултати.</w:t>
      </w:r>
    </w:p>
    <w:p w:rsidR="00000000" w:rsidDel="00000000" w:rsidP="00000000" w:rsidRDefault="00000000" w:rsidRPr="00000000" w14:paraId="00000092">
      <w:pPr>
        <w:pStyle w:val="Heading2"/>
        <w:rPr/>
      </w:pPr>
      <w:bookmarkStart w:colFirst="0" w:colLast="0" w:name="_heading=h.fl7b8s9le726" w:id="14"/>
      <w:bookmarkEnd w:id="14"/>
      <w:r w:rsidDel="00000000" w:rsidR="00000000" w:rsidRPr="00000000">
        <w:rPr>
          <w:rtl w:val="0"/>
        </w:rPr>
        <w:t xml:space="preserve">2. Координация и екипна работа</w:t>
      </w:r>
    </w:p>
    <w:p w:rsidR="00000000" w:rsidDel="00000000" w:rsidP="00000000" w:rsidRDefault="00000000" w:rsidRPr="00000000" w14:paraId="00000093">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Бариери</w:t>
      </w:r>
    </w:p>
    <w:p w:rsidR="00000000" w:rsidDel="00000000" w:rsidP="00000000" w:rsidRDefault="00000000" w:rsidRPr="00000000" w14:paraId="00000094">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Дългосрочните проекти изискват внимателна координация, за да се гарантира последователно и ефективно прилагане на приобщаващите мерки. Неясните срокове, припокриващите се графици между организациите и различията в капацитета или опита на партньорите по отношение на приобщаващите практики могат да доведат до неравностойно участие и недостатъчна подкрепа за хората с увреждания. Без структурирана комуникация и ясно дефинирани оперативни процеси договореностите, свързани с достъпността — като транспорт, асистенция или адаптирани материали — могат да бъдат забавени или непълни.</w:t>
      </w:r>
    </w:p>
    <w:p w:rsidR="00000000" w:rsidDel="00000000" w:rsidP="00000000" w:rsidRDefault="00000000" w:rsidRPr="00000000" w14:paraId="00000095">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Приобщаващи мерки</w:t>
      </w:r>
    </w:p>
    <w:p w:rsidR="00000000" w:rsidDel="00000000" w:rsidP="00000000" w:rsidRDefault="00000000" w:rsidRPr="00000000" w14:paraId="00000096">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Създайте ясна рамка за координация с определени срокове, отговорности за изпълнение и механизми за мониторинг, така че всеки партньор да познава своята оперативна роля в прилагането на приобщаващите мерки.</w:t>
      </w:r>
    </w:p>
    <w:p w:rsidR="00000000" w:rsidDel="00000000" w:rsidP="00000000" w:rsidRDefault="00000000" w:rsidRPr="00000000" w14:paraId="00000097">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Използвайте инструменти за сътрудничество, като споделени календари, платформи за управление на проекти и инструменти за проследяване на напредъка, за да наблюдавате сроковете, разпределението на ресурсите и прилагането на мерките за достъпност във всички дейности.</w:t>
      </w:r>
    </w:p>
    <w:p w:rsidR="00000000" w:rsidDel="00000000" w:rsidP="00000000" w:rsidRDefault="00000000" w:rsidRPr="00000000" w14:paraId="00000098">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Планирайте редовни координационни и контролни срещи, за да идентифицирате пропуски, да преразпределяте задачи при необходимост и да осигурите последователно прилагане на приобщаващите стратегии през целия проект.</w:t>
      </w:r>
    </w:p>
    <w:p w:rsidR="00000000" w:rsidDel="00000000" w:rsidP="00000000" w:rsidRDefault="00000000" w:rsidRPr="00000000" w14:paraId="00000099">
      <w:pPr>
        <w:spacing w:after="160" w:line="276" w:lineRule="auto"/>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Добра практика: многонационален младежки обмен, координиран от DŠIS</w:t>
      </w:r>
    </w:p>
    <w:p w:rsidR="00000000" w:rsidDel="00000000" w:rsidP="00000000" w:rsidRDefault="00000000" w:rsidRPr="00000000" w14:paraId="0000009A">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Асоциацията на студентите с увреждания в Словения, в партньорство с организации от Хърватия, Унгария и Австрия, организира 13-дневен пътуващ младежки обмен в четири държави, изправен пред значителни предизвикателства по отношение на координацията и достъпността. Обменът обедини млади хора с различни видове увреждания и потребности от подкрепа, като всяка локация беше посветена на различна тема, свързана с приобщаването.</w:t>
      </w:r>
    </w:p>
    <w:p w:rsidR="00000000" w:rsidDel="00000000" w:rsidP="00000000" w:rsidRDefault="00000000" w:rsidRPr="00000000" w14:paraId="0000009B">
      <w:pPr>
        <w:spacing w:after="160" w:line="276"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Партньорските организации осигуриха достъпно настаняване и дейности в своите държави, докато транспортът беше координиран съвместно. Програмата обхвана теми като заетост в Словения, култура в Хърватия, спорт в Унгария и достъп до висше образование в Австрия, като комбинира работилници, посещения и приобщаващи дейности, адаптирани към възможностите на участниците. Внимателната подготовка, редовната онлайн координация и доброто познаване на индивидуалните нужди на участниците бяха ключови за успеха. Въпреки предизвикателствата, свързани с достъпното настаняване и транспорт, партньорите споделяха ресурси, знания и подкрепящи решения, осигурявайки пълноценно участие и подчертавайки значението на гъвкавостта и тясната координация в многонационалните проекти.</w:t>
      </w:r>
    </w:p>
    <w:p w:rsidR="00000000" w:rsidDel="00000000" w:rsidP="00000000" w:rsidRDefault="00000000" w:rsidRPr="00000000" w14:paraId="0000009C">
      <w:pPr>
        <w:pStyle w:val="Heading1"/>
        <w:rPr/>
      </w:pPr>
      <w:bookmarkStart w:colFirst="0" w:colLast="0" w:name="_heading=h.74tnv6se46wi" w:id="15"/>
      <w:bookmarkEnd w:id="15"/>
      <w:r w:rsidDel="00000000" w:rsidR="00000000" w:rsidRPr="00000000">
        <w:br w:type="page"/>
      </w:r>
      <w:r w:rsidDel="00000000" w:rsidR="00000000" w:rsidRPr="00000000">
        <w:rPr>
          <w:rtl w:val="0"/>
        </w:rPr>
        <w:t xml:space="preserve">Политически измерения</w:t>
      </w:r>
    </w:p>
    <w:p w:rsidR="00000000" w:rsidDel="00000000" w:rsidP="00000000" w:rsidRDefault="00000000" w:rsidRPr="00000000" w14:paraId="0000009D">
      <w:pPr>
        <w:pStyle w:val="Heading2"/>
        <w:rPr/>
      </w:pPr>
      <w:bookmarkStart w:colFirst="0" w:colLast="0" w:name="_heading=h.7lpbexr5zib7" w:id="16"/>
      <w:bookmarkEnd w:id="16"/>
      <w:r w:rsidDel="00000000" w:rsidR="00000000" w:rsidRPr="00000000">
        <w:rPr>
          <w:rtl w:val="0"/>
        </w:rPr>
        <w:t xml:space="preserve">Интегриране на приобщаването на системно ниво</w:t>
      </w:r>
    </w:p>
    <w:p w:rsidR="00000000" w:rsidDel="00000000" w:rsidP="00000000" w:rsidRDefault="00000000" w:rsidRPr="00000000" w14:paraId="0000009E">
      <w:pPr>
        <w:rPr>
          <w:rFonts w:ascii="Aptos" w:cs="Aptos" w:eastAsia="Aptos" w:hAnsi="Aptos"/>
          <w:sz w:val="28"/>
          <w:szCs w:val="28"/>
        </w:rPr>
      </w:pPr>
      <w:r w:rsidDel="00000000" w:rsidR="00000000" w:rsidRPr="00000000">
        <w:rPr>
          <w:rFonts w:ascii="Aptos" w:cs="Aptos" w:eastAsia="Aptos" w:hAnsi="Aptos"/>
          <w:sz w:val="28"/>
          <w:szCs w:val="28"/>
          <w:rtl w:val="0"/>
        </w:rPr>
        <w:t xml:space="preserve">Проектно-базираните инициативи могат да демонстрират добри приобщаващи практики, но дългосрочното въздействие е възможно само ако те са подкрепени от адекватни публични политики. Интегрирането на достъпността и приобщаването в механизмите за финансиране, стандартите за младежка работа и системите за образование и обучение позволява устойчиво прилагане на приобщаващи подходи и след приключване на отделни проекти. В този контекст достъпността следва да се разглежда като основен стандарт за качество в младежката работа, а не като допълнителна или по избор мярка.</w:t>
      </w:r>
    </w:p>
    <w:p w:rsidR="00000000" w:rsidDel="00000000" w:rsidP="00000000" w:rsidRDefault="00000000" w:rsidRPr="00000000" w14:paraId="0000009F">
      <w:pPr>
        <w:pStyle w:val="Heading2"/>
        <w:rPr/>
      </w:pPr>
      <w:bookmarkStart w:colFirst="0" w:colLast="0" w:name="_heading=h.5x263js55ggv" w:id="17"/>
      <w:bookmarkEnd w:id="17"/>
      <w:r w:rsidDel="00000000" w:rsidR="00000000" w:rsidRPr="00000000">
        <w:rPr>
          <w:rtl w:val="0"/>
        </w:rPr>
        <w:t xml:space="preserve">Препоръки за публичните политики</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Интегриране на ясни критерии за достъпност и включване в насоките за финансиране на младежки проекти, процесите на подбор и рамките за оценка;</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Изискване и адекватно финансиране на предварителни посещения за дейности, включващи участници с увреждания или сложни нужди от подкрепа;</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Разработване на европейски критерии за качество за достъпни събития, места, учебни среди и материали;</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Осигуряване на стабилно и целенасочено финансиране за помощни технологии, превод, лична помощ и обучение, свързано с достъпността;</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Подкрепа за структурирано обучение между връстници и обмен на информация относно приобщаващи практики чрез платформите на Erasmus+, SALTO и Съвета на Европа;</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Включване на универсален дизайн и междусекторни подходи в образованието за младежка работа, учебните програми и системите за акредитация.</w:t>
      </w:r>
      <w:r w:rsidDel="00000000" w:rsidR="00000000" w:rsidRPr="00000000">
        <w:rPr>
          <w:rtl w:val="0"/>
        </w:rPr>
      </w:r>
    </w:p>
    <w:p w:rsidR="00000000" w:rsidDel="00000000" w:rsidP="00000000" w:rsidRDefault="00000000" w:rsidRPr="00000000" w14:paraId="000000A6">
      <w:pPr>
        <w:rPr>
          <w:rFonts w:ascii="Aptos" w:cs="Aptos" w:eastAsia="Aptos" w:hAnsi="Aptos"/>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1"/>
        <w:rPr/>
      </w:pPr>
      <w:bookmarkStart w:colFirst="0" w:colLast="0" w:name="_heading=h.bf4dg0sm4gk5" w:id="18"/>
      <w:bookmarkEnd w:id="18"/>
      <w:r w:rsidDel="00000000" w:rsidR="00000000" w:rsidRPr="00000000">
        <w:rPr>
          <w:rtl w:val="0"/>
        </w:rPr>
        <w:t xml:space="preserve">ЗАКЛЮЧЕНИЯ</w:t>
      </w:r>
    </w:p>
    <w:p w:rsidR="00000000" w:rsidDel="00000000" w:rsidP="00000000" w:rsidRDefault="00000000" w:rsidRPr="00000000" w14:paraId="000000A8">
      <w:pPr>
        <w:rPr>
          <w:rFonts w:ascii="Aptos" w:cs="Aptos" w:eastAsia="Aptos" w:hAnsi="Aptos"/>
          <w:sz w:val="28"/>
          <w:szCs w:val="28"/>
        </w:rPr>
      </w:pPr>
      <w:r w:rsidDel="00000000" w:rsidR="00000000" w:rsidRPr="00000000">
        <w:rPr>
          <w:rFonts w:ascii="Aptos" w:cs="Aptos" w:eastAsia="Aptos" w:hAnsi="Aptos"/>
          <w:sz w:val="28"/>
          <w:szCs w:val="28"/>
          <w:rtl w:val="0"/>
        </w:rPr>
        <w:t xml:space="preserve">Приобщаващата младежка работа не се случва автоматично; достъпността и приобщаването трябва да бъдат адресирани целенасочено на всички етапи — от изграждането на партньорства и подготовката, през изпълнението, до последващите дейности. Когато бариерите се идентифицират и преодоляват на ранен етап, участието на млади хора с по-малко възможности става по-последователно, по-сигурно и по-смислено.</w:t>
      </w:r>
    </w:p>
    <w:p w:rsidR="00000000" w:rsidDel="00000000" w:rsidP="00000000" w:rsidRDefault="00000000" w:rsidRPr="00000000" w14:paraId="000000A9">
      <w:pPr>
        <w:rPr>
          <w:rFonts w:ascii="Aptos" w:cs="Aptos" w:eastAsia="Aptos" w:hAnsi="Aptos"/>
          <w:sz w:val="28"/>
          <w:szCs w:val="28"/>
        </w:rPr>
      </w:pPr>
      <w:r w:rsidDel="00000000" w:rsidR="00000000" w:rsidRPr="00000000">
        <w:rPr>
          <w:rFonts w:ascii="Aptos" w:cs="Aptos" w:eastAsia="Aptos" w:hAnsi="Aptos"/>
          <w:sz w:val="28"/>
          <w:szCs w:val="28"/>
          <w:rtl w:val="0"/>
        </w:rPr>
        <w:t xml:space="preserve">Практиките, представени в тези препоръки, показват, че приобщаващите подходи са приложими и ефективни, когато са подкрепени от силни партньорства, адекватни ресурси и ясно дефинирани организационни отговорности. Само проектните дейности обаче не са достатъчни. Дългосрочното въздействие зависи от политически рамки, които признават достъпността като стандарт за качество, осигуряват устойчиви механизми за подкрепа и позволяват на организациите да прилагат приобщаващи практики последователно във времето.</w:t>
      </w:r>
    </w:p>
    <w:p w:rsidR="00000000" w:rsidDel="00000000" w:rsidP="00000000" w:rsidRDefault="00000000" w:rsidRPr="00000000" w14:paraId="000000AA">
      <w:pPr>
        <w:rPr>
          <w:rFonts w:ascii="Aptos" w:cs="Aptos" w:eastAsia="Aptos" w:hAnsi="Aptos"/>
          <w:sz w:val="28"/>
          <w:szCs w:val="28"/>
        </w:rPr>
      </w:pPr>
      <w:r w:rsidDel="00000000" w:rsidR="00000000" w:rsidRPr="00000000">
        <w:rPr>
          <w:rFonts w:ascii="Aptos" w:cs="Aptos" w:eastAsia="Aptos" w:hAnsi="Aptos"/>
          <w:sz w:val="28"/>
          <w:szCs w:val="28"/>
          <w:rtl w:val="0"/>
        </w:rPr>
        <w:t xml:space="preserve">Чрез интегриране на достъпността и приобщаването в системите за финансиране, структурите за обучение и стандартите за качество, младежката работа може да премине от отделни примери за добри практики към по-справедливо и надеждно участие на всички млади хора в Европа. Настоящите препоръки имат за цел не само да подобрят изпълнението на проекти, но и да допринесат за изграждането на по-приобщаващи системи за младежка работа на европейско ниво.</w:t>
      </w:r>
    </w:p>
    <w:p w:rsidR="00000000" w:rsidDel="00000000" w:rsidP="00000000" w:rsidRDefault="00000000" w:rsidRPr="00000000" w14:paraId="000000AB">
      <w:pPr>
        <w:rPr>
          <w:rFonts w:ascii="Aptos" w:cs="Aptos" w:eastAsia="Aptos" w:hAnsi="Aptos"/>
          <w:sz w:val="28"/>
          <w:szCs w:val="28"/>
        </w:rPr>
      </w:pPr>
      <w:r w:rsidDel="00000000" w:rsidR="00000000" w:rsidRPr="00000000">
        <w:rPr>
          <w:rtl w:val="0"/>
        </w:rPr>
      </w:r>
    </w:p>
    <w:p w:rsidR="00000000" w:rsidDel="00000000" w:rsidP="00000000" w:rsidRDefault="00000000" w:rsidRPr="00000000" w14:paraId="000000AC">
      <w:pPr>
        <w:spacing w:after="160" w:line="276"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AD">
      <w:pPr>
        <w:spacing w:after="160" w:line="276" w:lineRule="auto"/>
        <w:rPr>
          <w:rFonts w:ascii="Aptos" w:cs="Aptos" w:eastAsia="Aptos" w:hAnsi="Aptos"/>
          <w:sz w:val="28"/>
          <w:szCs w:val="28"/>
        </w:rPr>
      </w:pPr>
      <w:r w:rsidDel="00000000" w:rsidR="00000000" w:rsidRPr="00000000">
        <w:rPr>
          <w:rtl w:val="0"/>
        </w:rPr>
      </w:r>
    </w:p>
    <w:sectPr>
      <w:footerReference r:id="rId18" w:type="default"/>
      <w:pgSz w:h="16838" w:w="11906" w:orient="portrait"/>
      <w:pgMar w:bottom="1417" w:top="1417" w:left="1417" w:right="1417" w:header="708" w:footer="708"/>
      <w:pgNumType w:start="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ExtraBold"/>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jc w:val="center"/>
      <w:rPr>
        <w:sz w:val="28"/>
        <w:szCs w:val="28"/>
      </w:rPr>
    </w:pPr>
    <w:r w:rsidDel="00000000" w:rsidR="00000000" w:rsidRPr="00000000">
      <w:rPr>
        <w:sz w:val="28"/>
        <w:szCs w:val="28"/>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-340994</wp:posOffset>
              </wp:positionH>
              <wp:positionV relativeFrom="paragraph">
                <wp:posOffset>111760</wp:posOffset>
              </wp:positionV>
              <wp:extent cx="0" cy="12700"/>
              <wp:effectExtent b="0" l="0" r="0" t="0"/>
              <wp:wrapNone/>
              <wp:docPr id="2017896418" name=""/>
              <a:graphic>
                <a:graphicData uri="http://schemas.microsoft.com/office/word/2010/wordprocessingShape">
                  <wps:wsp>
                    <wps:cNvCnPr/>
                    <wps:spPr>
                      <a:xfrm>
                        <a:off x="3923600" y="3780000"/>
                        <a:ext cx="28448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-340994</wp:posOffset>
              </wp:positionH>
              <wp:positionV relativeFrom="paragraph">
                <wp:posOffset>111760</wp:posOffset>
              </wp:positionV>
              <wp:extent cx="0" cy="12700"/>
              <wp:effectExtent b="0" l="0" r="0" t="0"/>
              <wp:wrapNone/>
              <wp:docPr id="2017896418"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3226435</wp:posOffset>
              </wp:positionH>
              <wp:positionV relativeFrom="paragraph">
                <wp:posOffset>113030</wp:posOffset>
              </wp:positionV>
              <wp:extent cx="0" cy="12700"/>
              <wp:effectExtent b="0" l="0" r="0" t="0"/>
              <wp:wrapNone/>
              <wp:docPr id="2017896419" name=""/>
              <a:graphic>
                <a:graphicData uri="http://schemas.microsoft.com/office/word/2010/wordprocessingShape">
                  <wps:wsp>
                    <wps:cNvCnPr/>
                    <wps:spPr>
                      <a:xfrm>
                        <a:off x="3923600" y="3780000"/>
                        <a:ext cx="28448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3226435</wp:posOffset>
              </wp:positionH>
              <wp:positionV relativeFrom="paragraph">
                <wp:posOffset>113030</wp:posOffset>
              </wp:positionV>
              <wp:extent cx="0" cy="12700"/>
              <wp:effectExtent b="0" l="0" r="0" t="0"/>
              <wp:wrapNone/>
              <wp:docPr id="2017896419"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fr-BE"/>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Aptos ExtraBold" w:cs="Aptos ExtraBold" w:eastAsia="Aptos ExtraBold" w:hAnsi="Aptos ExtraBold"/>
      <w:color w:val="2f5496"/>
      <w:sz w:val="48"/>
      <w:szCs w:val="48"/>
      <w:u w:val="single"/>
    </w:rPr>
  </w:style>
  <w:style w:type="paragraph" w:styleId="Heading2">
    <w:name w:val="heading 2"/>
    <w:basedOn w:val="Normal"/>
    <w:next w:val="Normal"/>
    <w:pPr>
      <w:keepNext w:val="1"/>
      <w:keepLines w:val="1"/>
      <w:spacing w:after="0" w:before="160" w:line="360" w:lineRule="auto"/>
    </w:pPr>
    <w:rPr>
      <w:color w:val="2f5496"/>
      <w:sz w:val="32"/>
      <w:szCs w:val="32"/>
    </w:rPr>
  </w:style>
  <w:style w:type="paragraph" w:styleId="Heading3">
    <w:name w:val="heading 3"/>
    <w:basedOn w:val="Normal"/>
    <w:next w:val="Normal"/>
    <w:pPr>
      <w:keepNext w:val="1"/>
      <w:keepLines w:val="1"/>
      <w:pBdr>
        <w:bottom w:color="4472c4" w:space="1" w:sz="4" w:val="single"/>
      </w:pBdr>
      <w:spacing w:after="40" w:before="400" w:line="240" w:lineRule="auto"/>
    </w:pPr>
    <w:rPr>
      <w:rFonts w:ascii="Aptos" w:cs="Aptos" w:eastAsia="Aptos" w:hAnsi="Aptos"/>
      <w:color w:val="2f5496"/>
      <w:sz w:val="36"/>
      <w:szCs w:val="36"/>
    </w:rPr>
  </w:style>
  <w:style w:type="paragraph" w:styleId="Heading4">
    <w:name w:val="heading 4"/>
    <w:basedOn w:val="Normal"/>
    <w:next w:val="Normal"/>
    <w:pPr>
      <w:keepNext w:val="1"/>
      <w:keepLines w:val="1"/>
      <w:spacing w:after="0" w:before="80" w:lineRule="auto"/>
    </w:pPr>
    <w:rPr>
      <w:sz w:val="24"/>
      <w:szCs w:val="24"/>
    </w:rPr>
  </w:style>
  <w:style w:type="paragraph" w:styleId="Heading5">
    <w:name w:val="heading 5"/>
    <w:basedOn w:val="Normal"/>
    <w:next w:val="Normal"/>
    <w:pPr>
      <w:keepNext w:val="1"/>
      <w:keepLines w:val="1"/>
      <w:spacing w:after="0" w:before="80" w:lineRule="auto"/>
    </w:pPr>
    <w:rPr>
      <w:i w:val="1"/>
      <w:iCs w:val="1"/>
      <w:sz w:val="22"/>
      <w:szCs w:val="22"/>
    </w:rPr>
  </w:style>
  <w:style w:type="paragraph" w:styleId="Heading6">
    <w:name w:val="heading 6"/>
    <w:basedOn w:val="Normal"/>
    <w:next w:val="Normal"/>
    <w:pPr>
      <w:keepNext w:val="1"/>
      <w:keepLines w:val="1"/>
      <w:spacing w:after="0" w:before="80" w:lineRule="auto"/>
    </w:pPr>
    <w:rPr>
      <w:color w:val="595959"/>
    </w:rPr>
  </w:style>
  <w:style w:type="paragraph" w:styleId="Title">
    <w:name w:val="Title"/>
    <w:basedOn w:val="Normal"/>
    <w:next w:val="Normal"/>
    <w:pPr>
      <w:spacing w:after="0" w:line="240" w:lineRule="auto"/>
    </w:pPr>
    <w:rPr>
      <w:rFonts w:ascii="Aptos" w:cs="Aptos" w:eastAsia="Aptos" w:hAnsi="Aptos"/>
      <w:color w:val="2f5496"/>
      <w:sz w:val="100"/>
      <w:szCs w:val="100"/>
    </w:rPr>
  </w:style>
  <w:style w:type="paragraph" w:styleId="Heading7">
    <w:name w:val="heading 7"/>
    <w:basedOn w:val="Normal"/>
    <w:next w:val="Normal"/>
    <w:link w:val="Heading7Char"/>
    <w:uiPriority w:val="9"/>
    <w:semiHidden w:val="1"/>
    <w:unhideWhenUsed w:val="1"/>
    <w:qFormat w:val="1"/>
    <w:rsid w:val="00DC0C80"/>
    <w:pPr>
      <w:keepNext w:val="1"/>
      <w:keepLines w:val="1"/>
      <w:spacing w:after="0" w:before="80"/>
      <w:outlineLvl w:val="6"/>
    </w:pPr>
    <w:rPr>
      <w:rFonts w:asciiTheme="majorHAnsi" w:cstheme="majorBidi" w:eastAsiaTheme="majorEastAsia" w:hAnsiTheme="majorHAnsi"/>
      <w:i w:val="1"/>
      <w:iCs w:val="1"/>
      <w:color w:val="595959" w:themeColor="text1" w:themeTint="0000A6"/>
    </w:rPr>
  </w:style>
  <w:style w:type="paragraph" w:styleId="Heading8">
    <w:name w:val="heading 8"/>
    <w:basedOn w:val="Normal"/>
    <w:next w:val="Normal"/>
    <w:link w:val="Heading8Char"/>
    <w:uiPriority w:val="9"/>
    <w:semiHidden w:val="1"/>
    <w:unhideWhenUsed w:val="1"/>
    <w:qFormat w:val="1"/>
    <w:rsid w:val="00DC0C80"/>
    <w:pPr>
      <w:keepNext w:val="1"/>
      <w:keepLines w:val="1"/>
      <w:spacing w:after="0" w:before="80"/>
      <w:outlineLvl w:val="7"/>
    </w:pPr>
    <w:rPr>
      <w:rFonts w:asciiTheme="majorHAnsi" w:cstheme="majorBidi" w:eastAsiaTheme="majorEastAsia" w:hAnsiTheme="majorHAnsi"/>
      <w:smallCaps w:val="1"/>
      <w:color w:val="595959" w:themeColor="text1" w:themeTint="0000A6"/>
    </w:rPr>
  </w:style>
  <w:style w:type="paragraph" w:styleId="Heading9">
    <w:name w:val="heading 9"/>
    <w:basedOn w:val="Normal"/>
    <w:next w:val="Normal"/>
    <w:link w:val="Heading9Char"/>
    <w:uiPriority w:val="9"/>
    <w:semiHidden w:val="1"/>
    <w:unhideWhenUsed w:val="1"/>
    <w:qFormat w:val="1"/>
    <w:rsid w:val="00DC0C80"/>
    <w:pPr>
      <w:keepNext w:val="1"/>
      <w:keepLines w:val="1"/>
      <w:spacing w:after="0" w:before="80"/>
      <w:outlineLvl w:val="8"/>
    </w:pPr>
    <w:rPr>
      <w:rFonts w:asciiTheme="majorHAnsi" w:cstheme="majorBidi" w:eastAsiaTheme="majorEastAsia" w:hAnsiTheme="majorHAnsi"/>
      <w:i w:val="1"/>
      <w:iCs w:val="1"/>
      <w:smallCaps w:val="1"/>
      <w:color w:val="595959" w:themeColor="text1" w:themeTint="0000A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DA459B"/>
    <w:rPr>
      <w:rFonts w:ascii="Aptos ExtraBold" w:hAnsi="Aptos ExtraBold"/>
      <w:color w:val="2f5496"/>
      <w:sz w:val="48"/>
      <w:szCs w:val="36"/>
      <w:u w:color="ffffff" w:themeColor="background1" w:val="words"/>
    </w:rPr>
  </w:style>
  <w:style w:type="character" w:styleId="Heading2Char" w:customStyle="1">
    <w:name w:val="Heading 2 Char"/>
    <w:basedOn w:val="DefaultParagraphFont"/>
    <w:link w:val="Heading2"/>
    <w:uiPriority w:val="9"/>
    <w:rsid w:val="00FE6E5A"/>
    <w:rPr>
      <w:color w:val="2f5496"/>
      <w:sz w:val="32"/>
      <w:szCs w:val="28"/>
    </w:rPr>
  </w:style>
  <w:style w:type="character" w:styleId="Heading3Char" w:customStyle="1">
    <w:name w:val="Heading 3 Char"/>
    <w:basedOn w:val="DefaultParagraphFont"/>
    <w:link w:val="Heading3"/>
    <w:uiPriority w:val="9"/>
    <w:semiHidden w:val="1"/>
    <w:rsid w:val="00DC0C80"/>
    <w:rPr>
      <w:rFonts w:asciiTheme="majorHAnsi" w:cstheme="majorBidi" w:eastAsiaTheme="majorEastAsia" w:hAnsiTheme="majorHAnsi"/>
      <w:color w:val="404040" w:themeColor="text1" w:themeTint="0000BF"/>
      <w:sz w:val="26"/>
      <w:szCs w:val="26"/>
    </w:rPr>
  </w:style>
  <w:style w:type="character" w:styleId="Heading4Char" w:customStyle="1">
    <w:name w:val="Heading 4 Char"/>
    <w:basedOn w:val="DefaultParagraphFont"/>
    <w:link w:val="Heading4"/>
    <w:uiPriority w:val="9"/>
    <w:semiHidden w:val="1"/>
    <w:rsid w:val="00DC0C80"/>
    <w:rPr>
      <w:rFonts w:asciiTheme="majorHAnsi" w:cstheme="majorBidi" w:eastAsiaTheme="majorEastAsia" w:hAnsiTheme="majorHAnsi"/>
      <w:sz w:val="24"/>
      <w:szCs w:val="24"/>
    </w:rPr>
  </w:style>
  <w:style w:type="character" w:styleId="Heading5Char" w:customStyle="1">
    <w:name w:val="Heading 5 Char"/>
    <w:basedOn w:val="DefaultParagraphFont"/>
    <w:link w:val="Heading5"/>
    <w:uiPriority w:val="9"/>
    <w:semiHidden w:val="1"/>
    <w:rsid w:val="00DC0C80"/>
    <w:rPr>
      <w:rFonts w:asciiTheme="majorHAnsi" w:cstheme="majorBidi" w:eastAsiaTheme="majorEastAsia" w:hAnsiTheme="majorHAnsi"/>
      <w:i w:val="1"/>
      <w:iCs w:val="1"/>
      <w:sz w:val="22"/>
      <w:szCs w:val="22"/>
    </w:rPr>
  </w:style>
  <w:style w:type="character" w:styleId="Heading6Char" w:customStyle="1">
    <w:name w:val="Heading 6 Char"/>
    <w:basedOn w:val="DefaultParagraphFont"/>
    <w:link w:val="Heading6"/>
    <w:uiPriority w:val="9"/>
    <w:semiHidden w:val="1"/>
    <w:rsid w:val="00DC0C80"/>
    <w:rPr>
      <w:rFonts w:asciiTheme="majorHAnsi" w:cstheme="majorBidi" w:eastAsiaTheme="majorEastAsia" w:hAnsiTheme="majorHAnsi"/>
      <w:color w:val="595959" w:themeColor="text1" w:themeTint="0000A6"/>
    </w:rPr>
  </w:style>
  <w:style w:type="character" w:styleId="Heading7Char" w:customStyle="1">
    <w:name w:val="Heading 7 Char"/>
    <w:basedOn w:val="DefaultParagraphFont"/>
    <w:link w:val="Heading7"/>
    <w:uiPriority w:val="9"/>
    <w:semiHidden w:val="1"/>
    <w:rsid w:val="00DC0C80"/>
    <w:rPr>
      <w:rFonts w:asciiTheme="majorHAnsi" w:cstheme="majorBidi" w:eastAsiaTheme="majorEastAsia" w:hAnsiTheme="majorHAnsi"/>
      <w:i w:val="1"/>
      <w:iCs w:val="1"/>
      <w:color w:val="595959" w:themeColor="text1" w:themeTint="0000A6"/>
    </w:rPr>
  </w:style>
  <w:style w:type="character" w:styleId="Heading8Char" w:customStyle="1">
    <w:name w:val="Heading 8 Char"/>
    <w:basedOn w:val="DefaultParagraphFont"/>
    <w:link w:val="Heading8"/>
    <w:uiPriority w:val="9"/>
    <w:semiHidden w:val="1"/>
    <w:rsid w:val="00DC0C80"/>
    <w:rPr>
      <w:rFonts w:asciiTheme="majorHAnsi" w:cstheme="majorBidi" w:eastAsiaTheme="majorEastAsia" w:hAnsiTheme="majorHAnsi"/>
      <w:smallCaps w:val="1"/>
      <w:color w:val="595959" w:themeColor="text1" w:themeTint="0000A6"/>
    </w:rPr>
  </w:style>
  <w:style w:type="character" w:styleId="Heading9Char" w:customStyle="1">
    <w:name w:val="Heading 9 Char"/>
    <w:basedOn w:val="DefaultParagraphFont"/>
    <w:link w:val="Heading9"/>
    <w:uiPriority w:val="9"/>
    <w:semiHidden w:val="1"/>
    <w:rsid w:val="00DC0C80"/>
    <w:rPr>
      <w:rFonts w:asciiTheme="majorHAnsi" w:cstheme="majorBidi" w:eastAsiaTheme="majorEastAsia" w:hAnsiTheme="majorHAnsi"/>
      <w:i w:val="1"/>
      <w:iCs w:val="1"/>
      <w:smallCaps w:val="1"/>
      <w:color w:val="595959" w:themeColor="text1" w:themeTint="0000A6"/>
    </w:rPr>
  </w:style>
  <w:style w:type="character" w:styleId="TitleChar" w:customStyle="1">
    <w:name w:val="Title Char"/>
    <w:basedOn w:val="DefaultParagraphFont"/>
    <w:link w:val="Title"/>
    <w:uiPriority w:val="10"/>
    <w:rsid w:val="00DA459B"/>
    <w:rPr>
      <w:rFonts w:ascii="Aptos" w:hAnsi="Aptos"/>
      <w:color w:val="2f5496"/>
      <w:sz w:val="100"/>
      <w:szCs w:val="80"/>
    </w:rPr>
  </w:style>
  <w:style w:type="character" w:styleId="SubtitleChar" w:customStyle="1">
    <w:name w:val="Subtitle Char"/>
    <w:basedOn w:val="DefaultParagraphFont"/>
    <w:link w:val="Subtitle"/>
    <w:uiPriority w:val="11"/>
    <w:rsid w:val="00DC0C80"/>
    <w:rPr>
      <w:rFonts w:asciiTheme="majorHAnsi" w:cstheme="majorBidi" w:eastAsiaTheme="majorEastAsia" w:hAnsiTheme="majorHAnsi"/>
      <w:color w:val="404040" w:themeColor="text1" w:themeTint="0000BF"/>
      <w:sz w:val="30"/>
      <w:szCs w:val="30"/>
    </w:rPr>
  </w:style>
  <w:style w:type="paragraph" w:styleId="Quote">
    <w:name w:val="Quote"/>
    <w:basedOn w:val="Normal"/>
    <w:next w:val="Normal"/>
    <w:link w:val="QuoteChar"/>
    <w:uiPriority w:val="29"/>
    <w:qFormat w:val="1"/>
    <w:rsid w:val="00DC0C80"/>
    <w:pPr>
      <w:spacing w:after="240" w:before="240" w:line="252" w:lineRule="auto"/>
      <w:ind w:left="864" w:right="864"/>
      <w:jc w:val="center"/>
    </w:pPr>
    <w:rPr>
      <w:i w:val="1"/>
      <w:iCs w:val="1"/>
    </w:rPr>
  </w:style>
  <w:style w:type="character" w:styleId="QuoteChar" w:customStyle="1">
    <w:name w:val="Quote Char"/>
    <w:basedOn w:val="DefaultParagraphFont"/>
    <w:link w:val="Quote"/>
    <w:uiPriority w:val="29"/>
    <w:rsid w:val="00DC0C80"/>
    <w:rPr>
      <w:i w:val="1"/>
      <w:iCs w:val="1"/>
    </w:rPr>
  </w:style>
  <w:style w:type="paragraph" w:styleId="ListParagraph">
    <w:name w:val="List Paragraph"/>
    <w:basedOn w:val="Normal"/>
    <w:uiPriority w:val="34"/>
    <w:qFormat w:val="1"/>
    <w:rsid w:val="00AB38F8"/>
    <w:pPr>
      <w:ind w:left="720"/>
      <w:contextualSpacing w:val="1"/>
    </w:pPr>
  </w:style>
  <w:style w:type="character" w:styleId="IntenseEmphasis">
    <w:name w:val="Intense Emphasis"/>
    <w:basedOn w:val="DefaultParagraphFont"/>
    <w:uiPriority w:val="21"/>
    <w:qFormat w:val="1"/>
    <w:rsid w:val="00DC0C80"/>
    <w:rPr>
      <w:b w:val="1"/>
      <w:bCs w:val="1"/>
      <w:i w:val="1"/>
      <w:iCs w:val="1"/>
    </w:rPr>
  </w:style>
  <w:style w:type="paragraph" w:styleId="IntenseQuote">
    <w:name w:val="Intense Quote"/>
    <w:basedOn w:val="Normal"/>
    <w:next w:val="Normal"/>
    <w:link w:val="IntenseQuoteChar"/>
    <w:uiPriority w:val="30"/>
    <w:qFormat w:val="1"/>
    <w:rsid w:val="00DC0C80"/>
    <w:pPr>
      <w:spacing w:after="240" w:before="100" w:beforeAutospacing="1"/>
      <w:ind w:left="864" w:right="864"/>
      <w:jc w:val="center"/>
    </w:pPr>
    <w:rPr>
      <w:rFonts w:asciiTheme="majorHAnsi" w:cstheme="majorBidi" w:eastAsiaTheme="majorEastAsia" w:hAnsiTheme="majorHAnsi"/>
      <w:color w:val="4472c4" w:themeColor="accent1"/>
      <w:sz w:val="28"/>
      <w:szCs w:val="28"/>
    </w:rPr>
  </w:style>
  <w:style w:type="character" w:styleId="IntenseQuoteChar" w:customStyle="1">
    <w:name w:val="Intense Quote Char"/>
    <w:basedOn w:val="DefaultParagraphFont"/>
    <w:link w:val="IntenseQuote"/>
    <w:uiPriority w:val="30"/>
    <w:rsid w:val="00DC0C80"/>
    <w:rPr>
      <w:rFonts w:asciiTheme="majorHAnsi" w:cstheme="majorBidi" w:eastAsiaTheme="majorEastAsia" w:hAnsiTheme="majorHAnsi"/>
      <w:color w:val="4472c4" w:themeColor="accent1"/>
      <w:sz w:val="28"/>
      <w:szCs w:val="28"/>
    </w:rPr>
  </w:style>
  <w:style w:type="character" w:styleId="IntenseReference">
    <w:name w:val="Intense Reference"/>
    <w:basedOn w:val="DefaultParagraphFont"/>
    <w:uiPriority w:val="32"/>
    <w:qFormat w:val="1"/>
    <w:rsid w:val="00DC0C80"/>
    <w:rPr>
      <w:b w:val="1"/>
      <w:bCs w:val="1"/>
      <w:smallCaps w:val="1"/>
      <w:u w:val="single"/>
    </w:rPr>
  </w:style>
  <w:style w:type="paragraph" w:styleId="Caption">
    <w:name w:val="caption"/>
    <w:basedOn w:val="Normal"/>
    <w:next w:val="Normal"/>
    <w:uiPriority w:val="35"/>
    <w:semiHidden w:val="1"/>
    <w:unhideWhenUsed w:val="1"/>
    <w:qFormat w:val="1"/>
    <w:rsid w:val="00DC0C80"/>
    <w:pPr>
      <w:spacing w:line="240" w:lineRule="auto"/>
    </w:pPr>
    <w:rPr>
      <w:b w:val="1"/>
      <w:bCs w:val="1"/>
      <w:color w:val="404040" w:themeColor="text1" w:themeTint="0000BF"/>
      <w:sz w:val="20"/>
      <w:szCs w:val="20"/>
    </w:rPr>
  </w:style>
  <w:style w:type="character" w:styleId="Strong">
    <w:name w:val="Strong"/>
    <w:basedOn w:val="DefaultParagraphFont"/>
    <w:uiPriority w:val="22"/>
    <w:qFormat w:val="1"/>
    <w:rsid w:val="00DC0C80"/>
    <w:rPr>
      <w:b w:val="1"/>
      <w:bCs w:val="1"/>
    </w:rPr>
  </w:style>
  <w:style w:type="character" w:styleId="Emphasis">
    <w:name w:val="Emphasis"/>
    <w:basedOn w:val="DefaultParagraphFont"/>
    <w:uiPriority w:val="20"/>
    <w:qFormat w:val="1"/>
    <w:rsid w:val="00DC0C80"/>
    <w:rPr>
      <w:i w:val="1"/>
      <w:iCs w:val="1"/>
    </w:rPr>
  </w:style>
  <w:style w:type="paragraph" w:styleId="NoSpacing">
    <w:name w:val="No Spacing"/>
    <w:uiPriority w:val="1"/>
    <w:qFormat w:val="1"/>
    <w:rsid w:val="00DC0C80"/>
    <w:pPr>
      <w:spacing w:after="0" w:line="240" w:lineRule="auto"/>
    </w:pPr>
  </w:style>
  <w:style w:type="character" w:styleId="SubtleEmphasis">
    <w:name w:val="Subtle Emphasis"/>
    <w:basedOn w:val="DefaultParagraphFont"/>
    <w:uiPriority w:val="19"/>
    <w:qFormat w:val="1"/>
    <w:rsid w:val="00DC0C80"/>
    <w:rPr>
      <w:i w:val="1"/>
      <w:iCs w:val="1"/>
      <w:color w:val="595959" w:themeColor="text1" w:themeTint="0000A6"/>
    </w:rPr>
  </w:style>
  <w:style w:type="character" w:styleId="SubtleReference">
    <w:name w:val="Subtle Reference"/>
    <w:basedOn w:val="DefaultParagraphFont"/>
    <w:uiPriority w:val="31"/>
    <w:qFormat w:val="1"/>
    <w:rsid w:val="00DC0C80"/>
    <w:rPr>
      <w:smallCaps w:val="1"/>
      <w:color w:val="404040" w:themeColor="text1" w:themeTint="0000BF"/>
    </w:rPr>
  </w:style>
  <w:style w:type="character" w:styleId="BookTitle">
    <w:name w:val="Book Title"/>
    <w:basedOn w:val="DefaultParagraphFont"/>
    <w:uiPriority w:val="33"/>
    <w:qFormat w:val="1"/>
    <w:rsid w:val="00DC0C80"/>
    <w:rPr>
      <w:b w:val="1"/>
      <w:bCs w:val="1"/>
      <w:smallCaps w:val="1"/>
    </w:rPr>
  </w:style>
  <w:style w:type="paragraph" w:styleId="TOCHeading">
    <w:name w:val="TOC Heading"/>
    <w:basedOn w:val="Heading1"/>
    <w:next w:val="Normal"/>
    <w:uiPriority w:val="39"/>
    <w:unhideWhenUsed w:val="1"/>
    <w:qFormat w:val="1"/>
    <w:rsid w:val="00DC0C80"/>
    <w:pPr>
      <w:outlineLvl w:val="9"/>
    </w:pPr>
  </w:style>
  <w:style w:type="paragraph" w:styleId="NormalWeb">
    <w:name w:val="Normal (Web)"/>
    <w:basedOn w:val="Normal"/>
    <w:uiPriority w:val="99"/>
    <w:semiHidden w:val="1"/>
    <w:unhideWhenUsed w:val="1"/>
    <w:rsid w:val="00583D14"/>
    <w:rPr>
      <w:rFonts w:ascii="Times New Roman" w:cs="Times New Roman" w:hAnsi="Times New Roman"/>
      <w:sz w:val="24"/>
      <w:szCs w:val="24"/>
    </w:rPr>
  </w:style>
  <w:style w:type="character" w:styleId="Hyperlink">
    <w:name w:val="Hyperlink"/>
    <w:basedOn w:val="DefaultParagraphFont"/>
    <w:uiPriority w:val="99"/>
    <w:unhideWhenUsed w:val="1"/>
    <w:rsid w:val="00572A32"/>
    <w:rPr>
      <w:color w:val="0563c1" w:themeColor="hyperlink"/>
      <w:u w:val="single"/>
    </w:rPr>
  </w:style>
  <w:style w:type="character" w:styleId="UnresolvedMention">
    <w:name w:val="Unresolved Mention"/>
    <w:basedOn w:val="DefaultParagraphFont"/>
    <w:uiPriority w:val="99"/>
    <w:semiHidden w:val="1"/>
    <w:unhideWhenUsed w:val="1"/>
    <w:rsid w:val="00572A32"/>
    <w:rPr>
      <w:color w:val="605e5c"/>
      <w:shd w:color="auto" w:fill="e1dfdd" w:val="clear"/>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2A5182"/>
    <w:pPr>
      <w:tabs>
        <w:tab w:val="center" w:pos="4536"/>
        <w:tab w:val="right" w:pos="9072"/>
      </w:tabs>
      <w:spacing w:after="0" w:line="240" w:lineRule="auto"/>
    </w:pPr>
  </w:style>
  <w:style w:type="character" w:styleId="HeaderChar" w:customStyle="1">
    <w:name w:val="Header Char"/>
    <w:basedOn w:val="DefaultParagraphFont"/>
    <w:link w:val="Header"/>
    <w:uiPriority w:val="99"/>
    <w:rsid w:val="002A5182"/>
  </w:style>
  <w:style w:type="paragraph" w:styleId="Footer">
    <w:name w:val="footer"/>
    <w:basedOn w:val="Normal"/>
    <w:link w:val="FooterChar"/>
    <w:uiPriority w:val="99"/>
    <w:unhideWhenUsed w:val="1"/>
    <w:rsid w:val="002A5182"/>
    <w:pPr>
      <w:tabs>
        <w:tab w:val="center" w:pos="4536"/>
        <w:tab w:val="right" w:pos="9072"/>
      </w:tabs>
      <w:spacing w:after="0" w:line="240" w:lineRule="auto"/>
    </w:pPr>
  </w:style>
  <w:style w:type="character" w:styleId="FooterChar" w:customStyle="1">
    <w:name w:val="Footer Char"/>
    <w:basedOn w:val="DefaultParagraphFont"/>
    <w:link w:val="Footer"/>
    <w:uiPriority w:val="99"/>
    <w:rsid w:val="002A5182"/>
  </w:style>
  <w:style w:type="paragraph" w:styleId="TOC1">
    <w:name w:val="toc 1"/>
    <w:basedOn w:val="Normal"/>
    <w:next w:val="Normal"/>
    <w:autoRedefine w:val="1"/>
    <w:uiPriority w:val="39"/>
    <w:unhideWhenUsed w:val="1"/>
    <w:rsid w:val="00361DC6"/>
    <w:pPr>
      <w:spacing w:after="100"/>
    </w:pPr>
  </w:style>
  <w:style w:type="paragraph" w:styleId="TOC2">
    <w:name w:val="toc 2"/>
    <w:basedOn w:val="Normal"/>
    <w:next w:val="Normal"/>
    <w:autoRedefine w:val="1"/>
    <w:uiPriority w:val="39"/>
    <w:unhideWhenUsed w:val="1"/>
    <w:rsid w:val="00361DC6"/>
    <w:pPr>
      <w:spacing w:after="100"/>
      <w:ind w:left="210"/>
    </w:pPr>
  </w:style>
  <w:style w:type="paragraph" w:styleId="CommentSubject">
    <w:name w:val="annotation subject"/>
    <w:basedOn w:val="CommentText"/>
    <w:next w:val="CommentText"/>
    <w:link w:val="CommentSubjectChar"/>
    <w:uiPriority w:val="99"/>
    <w:semiHidden w:val="1"/>
    <w:unhideWhenUsed w:val="1"/>
    <w:rsid w:val="00DE3E3D"/>
    <w:rPr>
      <w:b w:val="1"/>
      <w:bCs w:val="1"/>
    </w:rPr>
  </w:style>
  <w:style w:type="character" w:styleId="CommentSubjectChar" w:customStyle="1">
    <w:name w:val="Comment Subject Char"/>
    <w:basedOn w:val="CommentTextChar"/>
    <w:link w:val="CommentSubject"/>
    <w:uiPriority w:val="99"/>
    <w:semiHidden w:val="1"/>
    <w:rsid w:val="00DE3E3D"/>
    <w:rPr>
      <w:b w:val="1"/>
      <w:bCs w:val="1"/>
      <w:sz w:val="20"/>
      <w:szCs w:val="20"/>
    </w:rPr>
  </w:style>
  <w:style w:type="paragraph" w:styleId="Subtitle">
    <w:name w:val="Subtitle"/>
    <w:basedOn w:val="Normal"/>
    <w:next w:val="Normal"/>
    <w:pPr>
      <w:spacing w:after="240" w:line="240" w:lineRule="auto"/>
    </w:pPr>
    <w:rPr>
      <w:color w:val="404040"/>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1.png"/><Relationship Id="rId13" Type="http://schemas.openxmlformats.org/officeDocument/2006/relationships/image" Target="media/image9.jpg"/><Relationship Id="rId12" Type="http://schemas.openxmlformats.org/officeDocument/2006/relationships/image" Target="media/image3.gif"/><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7.png"/><Relationship Id="rId14" Type="http://schemas.openxmlformats.org/officeDocument/2006/relationships/image" Target="media/image5.jpg"/><Relationship Id="rId17" Type="http://schemas.openxmlformats.org/officeDocument/2006/relationships/image" Target="media/image10.png"/><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8.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5AN+EGlK5oZbgGUiTf5gnGe7tg==">CgMxLjAyDmguaWIyeHJtcm5pNGpuMg5oLjF3N2FpdW1nNHJ3czIOaC43NmltMnU3dGwybHMyDmgucmc2aDY2Z214ZnBnMg5oLnByZHFpNzdlYW10eDIOaC43Z2FpNTVnZXdndGwyDmguajRoZjQzcTNmZWQyMg5oLnY2ancwbTlzZXd0ZTIOaC5mcmZwOWxoZmJyM3cyDmgueHZvcGx4NWZkNjRsMg5oLnh6Z204c2dqNXF0bTIOaC43eGZkcmtiMGIza28yDmgucHU4aW9scTZua3c0Mg5oLmM4Z2gwdzhiNHlrcjIOaC5mbDdiOHM5bGU3MjYyDmguNzR0bnY2c2U0NndpMg5oLjdscGJleHI1emliNzIOaC41eDI2M2pzNTVnZ3YyDmguYmY0ZGcwc200Z2s1OAByITFRNm4wZ0pwZWhSWVduR2FVbG5iX1NzS3lrdlVhZTFR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2025-11-19T08:27:00Z</dcterms:created>
  <dc:creator>Giulia D'Agnolo</dc:creator>
</cp:coreProperties>
</file>